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373" w:rsidRPr="009B3373" w:rsidRDefault="009B3373" w:rsidP="009B3373">
      <w:pPr>
        <w:spacing w:after="0" w:line="288" w:lineRule="auto"/>
        <w:ind w:left="0" w:right="0" w:firstLine="0"/>
        <w:jc w:val="center"/>
        <w:rPr>
          <w:rFonts w:ascii="Century Gothic" w:eastAsia="Times New Roman" w:hAnsi="Century Gothic" w:cs="Times New Roman"/>
          <w:b/>
          <w:color w:val="auto"/>
          <w:sz w:val="52"/>
          <w:szCs w:val="24"/>
        </w:rPr>
      </w:pPr>
      <w:r w:rsidRPr="009B3373">
        <w:rPr>
          <w:rFonts w:ascii="Century Gothic" w:eastAsia="Times New Roman" w:hAnsi="Century Gothic" w:cs="Times New Roman"/>
          <w:b/>
          <w:color w:val="auto"/>
          <w:sz w:val="52"/>
          <w:szCs w:val="24"/>
        </w:rPr>
        <w:t>SZCZEGÓŁOWA</w:t>
      </w:r>
    </w:p>
    <w:p w:rsidR="009B3373" w:rsidRPr="009B3373" w:rsidRDefault="009B3373" w:rsidP="009B3373">
      <w:pPr>
        <w:spacing w:after="0" w:line="288" w:lineRule="auto"/>
        <w:ind w:left="0" w:right="0" w:firstLine="0"/>
        <w:jc w:val="center"/>
        <w:rPr>
          <w:rFonts w:ascii="Century Gothic" w:eastAsia="Times New Roman" w:hAnsi="Century Gothic" w:cs="Times New Roman"/>
          <w:b/>
          <w:color w:val="auto"/>
          <w:sz w:val="52"/>
          <w:szCs w:val="24"/>
        </w:rPr>
      </w:pPr>
      <w:r w:rsidRPr="009B3373">
        <w:rPr>
          <w:rFonts w:ascii="Century Gothic" w:eastAsia="Times New Roman" w:hAnsi="Century Gothic" w:cs="Times New Roman"/>
          <w:b/>
          <w:color w:val="auto"/>
          <w:sz w:val="52"/>
          <w:szCs w:val="24"/>
        </w:rPr>
        <w:t xml:space="preserve">SPECYFIKACJA TECHNICZNA </w:t>
      </w:r>
    </w:p>
    <w:p w:rsidR="009B3373" w:rsidRPr="009B3373" w:rsidRDefault="009B3373" w:rsidP="009B3373">
      <w:pPr>
        <w:spacing w:after="0" w:line="288" w:lineRule="auto"/>
        <w:ind w:left="0" w:right="0" w:firstLine="0"/>
        <w:jc w:val="center"/>
        <w:rPr>
          <w:rFonts w:ascii="Century Gothic" w:eastAsia="Times New Roman" w:hAnsi="Century Gothic" w:cs="Times New Roman"/>
          <w:b/>
          <w:color w:val="auto"/>
          <w:sz w:val="52"/>
          <w:szCs w:val="24"/>
        </w:rPr>
      </w:pPr>
      <w:r w:rsidRPr="009B3373">
        <w:rPr>
          <w:rFonts w:ascii="Century Gothic" w:eastAsia="Times New Roman" w:hAnsi="Century Gothic" w:cs="Times New Roman"/>
          <w:b/>
          <w:color w:val="auto"/>
          <w:sz w:val="52"/>
          <w:szCs w:val="24"/>
        </w:rPr>
        <w:t>WYKONANIA I ODBIORU ROBÓT</w:t>
      </w:r>
    </w:p>
    <w:p w:rsidR="009B3373" w:rsidRPr="009B3373" w:rsidRDefault="009B3373" w:rsidP="009B3373">
      <w:pPr>
        <w:spacing w:after="0" w:line="288" w:lineRule="auto"/>
        <w:ind w:left="0" w:right="0" w:firstLine="0"/>
        <w:jc w:val="center"/>
        <w:rPr>
          <w:rFonts w:ascii="Tahoma" w:eastAsia="Times New Roman" w:hAnsi="Tahoma" w:cs="Times New Roman"/>
          <w:b/>
          <w:color w:val="auto"/>
          <w:sz w:val="40"/>
          <w:szCs w:val="24"/>
        </w:rPr>
      </w:pPr>
    </w:p>
    <w:p w:rsidR="009B3373" w:rsidRPr="009B3373" w:rsidRDefault="00E06010" w:rsidP="009B3373">
      <w:pPr>
        <w:keepNext/>
        <w:widowControl w:val="0"/>
        <w:autoSpaceDE w:val="0"/>
        <w:autoSpaceDN w:val="0"/>
        <w:adjustRightInd w:val="0"/>
        <w:spacing w:before="120" w:after="0" w:line="288" w:lineRule="auto"/>
        <w:ind w:left="0" w:right="0" w:firstLine="0"/>
        <w:jc w:val="center"/>
        <w:outlineLvl w:val="3"/>
        <w:rPr>
          <w:rFonts w:ascii="Century Gothic" w:eastAsia="Times New Roman" w:hAnsi="Century Gothic" w:cs="Times New Roman"/>
          <w:b/>
          <w:bCs/>
          <w:color w:val="auto"/>
          <w:sz w:val="52"/>
          <w:szCs w:val="24"/>
        </w:rPr>
      </w:pPr>
      <w:r>
        <w:rPr>
          <w:rFonts w:ascii="Century Gothic" w:eastAsia="Times New Roman" w:hAnsi="Century Gothic" w:cs="Times New Roman"/>
          <w:b/>
          <w:bCs/>
          <w:color w:val="auto"/>
          <w:sz w:val="52"/>
          <w:szCs w:val="24"/>
        </w:rPr>
        <w:t>O</w:t>
      </w:r>
      <w:r w:rsidR="009B3373">
        <w:rPr>
          <w:rFonts w:ascii="Century Gothic" w:eastAsia="Times New Roman" w:hAnsi="Century Gothic" w:cs="Times New Roman"/>
          <w:b/>
          <w:bCs/>
          <w:color w:val="auto"/>
          <w:sz w:val="52"/>
          <w:szCs w:val="24"/>
        </w:rPr>
        <w:t>bróbki blacharskie</w:t>
      </w:r>
    </w:p>
    <w:p w:rsidR="009B3373" w:rsidRPr="009B3373" w:rsidRDefault="009B3373" w:rsidP="009B3373">
      <w:pPr>
        <w:spacing w:after="0" w:line="288" w:lineRule="auto"/>
        <w:ind w:left="0" w:right="0" w:firstLine="0"/>
        <w:jc w:val="left"/>
        <w:rPr>
          <w:rFonts w:ascii="Tahoma" w:eastAsia="Times New Roman" w:hAnsi="Tahoma" w:cs="Times New Roman"/>
          <w:color w:val="auto"/>
          <w:sz w:val="24"/>
          <w:szCs w:val="24"/>
        </w:rPr>
      </w:pPr>
    </w:p>
    <w:p w:rsidR="009B3373" w:rsidRPr="009B3373" w:rsidRDefault="009B3373" w:rsidP="009B3373">
      <w:pPr>
        <w:spacing w:after="0" w:line="288" w:lineRule="auto"/>
        <w:ind w:left="0" w:right="0" w:firstLine="0"/>
        <w:jc w:val="left"/>
        <w:rPr>
          <w:rFonts w:ascii="Tahoma" w:eastAsia="Times New Roman" w:hAnsi="Tahoma" w:cs="Times New Roman"/>
          <w:color w:val="auto"/>
          <w:sz w:val="24"/>
          <w:szCs w:val="24"/>
        </w:rPr>
      </w:pPr>
    </w:p>
    <w:p w:rsidR="009B3373" w:rsidRPr="009B3373" w:rsidRDefault="009B3373" w:rsidP="009B3373">
      <w:pPr>
        <w:spacing w:after="0" w:line="288" w:lineRule="auto"/>
        <w:ind w:left="0" w:right="0" w:firstLine="0"/>
        <w:jc w:val="center"/>
        <w:rPr>
          <w:rFonts w:ascii="Century Gothic" w:eastAsia="Times New Roman" w:hAnsi="Century Gothic" w:cs="Times New Roman"/>
          <w:b/>
          <w:color w:val="auto"/>
          <w:sz w:val="48"/>
          <w:szCs w:val="24"/>
        </w:rPr>
      </w:pPr>
      <w:r w:rsidRPr="009B3373">
        <w:rPr>
          <w:rFonts w:ascii="Century Gothic" w:eastAsia="Times New Roman" w:hAnsi="Century Gothic" w:cs="Times New Roman"/>
          <w:b/>
          <w:color w:val="auto"/>
          <w:sz w:val="48"/>
          <w:szCs w:val="24"/>
        </w:rPr>
        <w:t xml:space="preserve">SST </w:t>
      </w:r>
      <w:r>
        <w:rPr>
          <w:rFonts w:ascii="Century Gothic" w:eastAsia="Times New Roman" w:hAnsi="Century Gothic" w:cs="Times New Roman"/>
          <w:b/>
          <w:color w:val="auto"/>
          <w:sz w:val="48"/>
          <w:szCs w:val="24"/>
        </w:rPr>
        <w:t>1</w:t>
      </w:r>
      <w:r w:rsidR="00E06010">
        <w:rPr>
          <w:rFonts w:ascii="Century Gothic" w:eastAsia="Times New Roman" w:hAnsi="Century Gothic" w:cs="Times New Roman"/>
          <w:b/>
          <w:color w:val="auto"/>
          <w:sz w:val="48"/>
          <w:szCs w:val="24"/>
        </w:rPr>
        <w:t>5</w:t>
      </w:r>
      <w:r w:rsidRPr="009B3373">
        <w:rPr>
          <w:rFonts w:ascii="Century Gothic" w:eastAsia="Times New Roman" w:hAnsi="Century Gothic" w:cs="Times New Roman"/>
          <w:b/>
          <w:color w:val="auto"/>
          <w:sz w:val="48"/>
          <w:szCs w:val="24"/>
        </w:rPr>
        <w:t>.0</w:t>
      </w:r>
    </w:p>
    <w:p w:rsidR="009B3373" w:rsidRPr="009B3373" w:rsidRDefault="009B3373" w:rsidP="009B3373">
      <w:pPr>
        <w:autoSpaceDE w:val="0"/>
        <w:autoSpaceDN w:val="0"/>
        <w:adjustRightInd w:val="0"/>
        <w:spacing w:after="0" w:line="288" w:lineRule="auto"/>
        <w:ind w:left="852" w:right="0" w:firstLine="0"/>
        <w:jc w:val="left"/>
        <w:rPr>
          <w:rFonts w:ascii="Arial" w:eastAsia="Times New Roman" w:hAnsi="Arial" w:cs="Times New Roman"/>
          <w:color w:val="auto"/>
          <w:sz w:val="22"/>
          <w:szCs w:val="24"/>
        </w:rPr>
      </w:pPr>
    </w:p>
    <w:p w:rsidR="009B3373" w:rsidRPr="009B3373" w:rsidRDefault="009B3373" w:rsidP="009B3373">
      <w:pPr>
        <w:autoSpaceDE w:val="0"/>
        <w:autoSpaceDN w:val="0"/>
        <w:adjustRightInd w:val="0"/>
        <w:spacing w:after="0" w:line="288" w:lineRule="auto"/>
        <w:ind w:left="852" w:right="0" w:firstLine="0"/>
        <w:jc w:val="left"/>
        <w:rPr>
          <w:rFonts w:ascii="Arial" w:eastAsia="Times New Roman" w:hAnsi="Arial" w:cs="Times New Roman"/>
          <w:color w:val="auto"/>
          <w:sz w:val="22"/>
          <w:szCs w:val="24"/>
        </w:rPr>
      </w:pPr>
    </w:p>
    <w:p w:rsidR="009B3373" w:rsidRPr="009B3373" w:rsidRDefault="009B3373" w:rsidP="009B3373">
      <w:pPr>
        <w:autoSpaceDE w:val="0"/>
        <w:autoSpaceDN w:val="0"/>
        <w:adjustRightInd w:val="0"/>
        <w:spacing w:after="0" w:line="288" w:lineRule="auto"/>
        <w:ind w:left="852" w:right="0" w:firstLine="0"/>
        <w:jc w:val="left"/>
        <w:rPr>
          <w:rFonts w:ascii="Arial" w:eastAsia="Times New Roman" w:hAnsi="Arial" w:cs="Times New Roman"/>
          <w:color w:val="auto"/>
          <w:sz w:val="22"/>
          <w:szCs w:val="24"/>
        </w:rPr>
      </w:pPr>
    </w:p>
    <w:p w:rsidR="009B3373" w:rsidRPr="009B3373" w:rsidRDefault="009B3373" w:rsidP="009B3373">
      <w:pPr>
        <w:autoSpaceDE w:val="0"/>
        <w:autoSpaceDN w:val="0"/>
        <w:adjustRightInd w:val="0"/>
        <w:spacing w:after="0" w:line="288" w:lineRule="auto"/>
        <w:ind w:left="852" w:right="0" w:firstLine="0"/>
        <w:jc w:val="left"/>
        <w:rPr>
          <w:rFonts w:ascii="Arial" w:eastAsia="Times New Roman" w:hAnsi="Arial" w:cs="Times New Roman"/>
          <w:color w:val="auto"/>
          <w:sz w:val="22"/>
          <w:szCs w:val="24"/>
        </w:rPr>
      </w:pPr>
    </w:p>
    <w:p w:rsidR="003F294A" w:rsidRPr="009B3373" w:rsidRDefault="003F294A" w:rsidP="003F294A">
      <w:pPr>
        <w:spacing w:after="0" w:line="276" w:lineRule="auto"/>
        <w:ind w:right="48"/>
        <w:rPr>
          <w:rFonts w:ascii="Arial" w:eastAsia="Arial" w:hAnsi="Arial"/>
          <w:b/>
          <w:sz w:val="22"/>
        </w:rPr>
      </w:pPr>
      <w:r w:rsidRPr="009B3373">
        <w:rPr>
          <w:rFonts w:ascii="Arial" w:eastAsia="Arial" w:hAnsi="Arial"/>
          <w:b/>
          <w:sz w:val="22"/>
        </w:rPr>
        <w:t xml:space="preserve">NAZWA ZADANIA: ,,Rozbudowa budynku </w:t>
      </w:r>
      <w:r>
        <w:rPr>
          <w:rFonts w:ascii="Arial" w:eastAsia="Arial" w:hAnsi="Arial"/>
          <w:b/>
          <w:sz w:val="22"/>
        </w:rPr>
        <w:t>remizy OSP</w:t>
      </w:r>
      <w:r w:rsidRPr="009B3373">
        <w:rPr>
          <w:rFonts w:ascii="Arial" w:eastAsia="Arial" w:hAnsi="Arial"/>
          <w:b/>
          <w:sz w:val="22"/>
        </w:rPr>
        <w:t xml:space="preserve"> w Powidzu"</w:t>
      </w:r>
    </w:p>
    <w:p w:rsidR="003F294A" w:rsidRPr="009B3373" w:rsidRDefault="003F294A" w:rsidP="003F294A">
      <w:pPr>
        <w:tabs>
          <w:tab w:val="left" w:pos="1985"/>
        </w:tabs>
        <w:spacing w:line="480" w:lineRule="auto"/>
        <w:ind w:right="48"/>
        <w:rPr>
          <w:rFonts w:ascii="Arial" w:eastAsia="Arial" w:hAnsi="Arial"/>
          <w:b/>
          <w:sz w:val="22"/>
        </w:rPr>
      </w:pPr>
      <w:r>
        <w:rPr>
          <w:rFonts w:ascii="Arial" w:eastAsia="Arial" w:hAnsi="Arial"/>
          <w:b/>
          <w:sz w:val="22"/>
        </w:rPr>
        <w:t xml:space="preserve"> </w:t>
      </w:r>
      <w:r w:rsidRPr="009B3373">
        <w:rPr>
          <w:rFonts w:ascii="Arial" w:eastAsia="Arial" w:hAnsi="Arial"/>
          <w:b/>
          <w:sz w:val="22"/>
        </w:rPr>
        <w:tab/>
        <w:t xml:space="preserve">Powidz, ul. </w:t>
      </w:r>
      <w:r>
        <w:rPr>
          <w:rFonts w:ascii="Arial" w:eastAsia="Arial" w:hAnsi="Arial"/>
          <w:b/>
          <w:sz w:val="22"/>
        </w:rPr>
        <w:t>Strzałkowska 16B</w:t>
      </w:r>
      <w:r w:rsidRPr="009B3373">
        <w:rPr>
          <w:rFonts w:ascii="Arial" w:eastAsia="Arial" w:hAnsi="Arial"/>
          <w:b/>
          <w:sz w:val="22"/>
        </w:rPr>
        <w:t xml:space="preserve">, dz. nr </w:t>
      </w:r>
      <w:r>
        <w:rPr>
          <w:rFonts w:ascii="Arial" w:eastAsia="Arial" w:hAnsi="Arial"/>
          <w:b/>
          <w:sz w:val="22"/>
        </w:rPr>
        <w:t>1023</w:t>
      </w:r>
    </w:p>
    <w:p w:rsidR="009B3373" w:rsidRPr="009B3373" w:rsidRDefault="009B3373" w:rsidP="009B3373">
      <w:pPr>
        <w:spacing w:after="0" w:line="479" w:lineRule="auto"/>
        <w:ind w:left="0" w:right="48" w:firstLine="0"/>
        <w:jc w:val="left"/>
        <w:rPr>
          <w:rFonts w:ascii="Arial" w:eastAsia="Arial" w:hAnsi="Arial" w:cs="Times New Roman"/>
          <w:b/>
          <w:color w:val="auto"/>
          <w:sz w:val="22"/>
          <w:szCs w:val="24"/>
        </w:rPr>
      </w:pPr>
      <w:r w:rsidRPr="009B3373">
        <w:rPr>
          <w:rFonts w:ascii="Arial" w:eastAsia="Arial" w:hAnsi="Arial" w:cs="Times New Roman"/>
          <w:b/>
          <w:color w:val="auto"/>
          <w:sz w:val="22"/>
          <w:szCs w:val="24"/>
        </w:rPr>
        <w:t>INWESTOR : GMINA POWIDZ, ul. 29 Grudnia 24, 62-430 Powidz</w:t>
      </w:r>
    </w:p>
    <w:p w:rsidR="009B3373" w:rsidRPr="009B3373" w:rsidRDefault="009B3373" w:rsidP="009B3373">
      <w:pPr>
        <w:spacing w:after="0" w:line="276" w:lineRule="auto"/>
        <w:ind w:left="0" w:right="48" w:firstLine="0"/>
        <w:jc w:val="left"/>
        <w:rPr>
          <w:rFonts w:ascii="Arial" w:eastAsia="Arial" w:hAnsi="Arial" w:cs="Times New Roman"/>
          <w:b/>
          <w:color w:val="auto"/>
          <w:sz w:val="22"/>
          <w:szCs w:val="24"/>
        </w:rPr>
      </w:pPr>
      <w:r w:rsidRPr="009B3373">
        <w:rPr>
          <w:rFonts w:ascii="Arial" w:eastAsia="Arial" w:hAnsi="Arial" w:cs="Times New Roman"/>
          <w:b/>
          <w:color w:val="auto"/>
          <w:sz w:val="22"/>
          <w:szCs w:val="24"/>
        </w:rPr>
        <w:t xml:space="preserve">JEDNOSTKA PROJEKTOWA : W.P. PROJEKT WIELGUS PAWEŁ </w:t>
      </w:r>
    </w:p>
    <w:p w:rsidR="009B3373" w:rsidRPr="009B3373" w:rsidRDefault="009B3373" w:rsidP="009B3373">
      <w:pPr>
        <w:tabs>
          <w:tab w:val="left" w:pos="3119"/>
        </w:tabs>
        <w:spacing w:after="0" w:line="479" w:lineRule="auto"/>
        <w:ind w:left="0" w:right="48" w:firstLine="0"/>
        <w:jc w:val="left"/>
        <w:rPr>
          <w:rFonts w:ascii="Arial" w:eastAsia="Arial" w:hAnsi="Arial" w:cs="Times New Roman"/>
          <w:b/>
          <w:color w:val="auto"/>
          <w:sz w:val="22"/>
          <w:szCs w:val="24"/>
        </w:rPr>
      </w:pPr>
      <w:r w:rsidRPr="009B3373">
        <w:rPr>
          <w:rFonts w:ascii="Arial" w:eastAsia="Arial" w:hAnsi="Arial" w:cs="Times New Roman"/>
          <w:b/>
          <w:color w:val="auto"/>
          <w:sz w:val="22"/>
          <w:szCs w:val="24"/>
        </w:rPr>
        <w:tab/>
        <w:t>ul. Warszawska 9, 62-430 Powidz</w:t>
      </w:r>
    </w:p>
    <w:p w:rsidR="009B3373" w:rsidRPr="009B3373" w:rsidRDefault="009B3373" w:rsidP="009B3373">
      <w:pPr>
        <w:autoSpaceDE w:val="0"/>
        <w:autoSpaceDN w:val="0"/>
        <w:adjustRightInd w:val="0"/>
        <w:spacing w:after="0" w:line="288" w:lineRule="auto"/>
        <w:ind w:left="852" w:right="0" w:firstLine="0"/>
        <w:jc w:val="left"/>
        <w:rPr>
          <w:rFonts w:ascii="Arial" w:eastAsia="Times New Roman" w:hAnsi="Arial" w:cs="Times New Roman"/>
          <w:color w:val="auto"/>
          <w:sz w:val="22"/>
          <w:szCs w:val="24"/>
        </w:rPr>
      </w:pPr>
    </w:p>
    <w:p w:rsidR="009B3373" w:rsidRPr="009B3373" w:rsidRDefault="009B3373" w:rsidP="009B3373">
      <w:pPr>
        <w:spacing w:after="0" w:line="240" w:lineRule="auto"/>
        <w:ind w:left="900" w:right="0" w:firstLine="0"/>
        <w:jc w:val="right"/>
        <w:rPr>
          <w:rFonts w:ascii="Arial" w:eastAsia="Times New Roman" w:hAnsi="Arial" w:cs="Times New Roman"/>
          <w:color w:val="auto"/>
          <w:sz w:val="22"/>
          <w:szCs w:val="24"/>
        </w:rPr>
      </w:pPr>
    </w:p>
    <w:p w:rsidR="009B3373" w:rsidRPr="009B3373" w:rsidRDefault="009B3373" w:rsidP="009B3373">
      <w:pPr>
        <w:spacing w:after="0" w:line="240" w:lineRule="auto"/>
        <w:ind w:left="900" w:right="0" w:firstLine="0"/>
        <w:jc w:val="right"/>
        <w:rPr>
          <w:rFonts w:ascii="Arial" w:eastAsia="Times New Roman" w:hAnsi="Arial" w:cs="Times New Roman"/>
          <w:color w:val="auto"/>
          <w:sz w:val="22"/>
          <w:szCs w:val="24"/>
        </w:rPr>
      </w:pPr>
    </w:p>
    <w:p w:rsidR="009B3373" w:rsidRPr="009B3373" w:rsidRDefault="009B3373" w:rsidP="009B3373">
      <w:pPr>
        <w:spacing w:after="0" w:line="240" w:lineRule="auto"/>
        <w:ind w:left="900" w:right="0" w:firstLine="0"/>
        <w:jc w:val="right"/>
        <w:rPr>
          <w:rFonts w:ascii="Arial" w:eastAsia="Times New Roman" w:hAnsi="Arial" w:cs="Times New Roman"/>
          <w:color w:val="auto"/>
          <w:sz w:val="22"/>
          <w:szCs w:val="24"/>
        </w:rPr>
      </w:pPr>
      <w:r w:rsidRPr="009B3373">
        <w:rPr>
          <w:rFonts w:ascii="Arial" w:eastAsia="Times New Roman" w:hAnsi="Arial" w:cs="Times New Roman"/>
          <w:color w:val="auto"/>
          <w:sz w:val="22"/>
          <w:szCs w:val="24"/>
        </w:rPr>
        <w:t>DATA: wrzesień 2022 r.</w:t>
      </w:r>
    </w:p>
    <w:p w:rsidR="002A0D61" w:rsidRDefault="00BF2516">
      <w:pPr>
        <w:spacing w:after="72" w:line="240" w:lineRule="auto"/>
        <w:ind w:left="0" w:right="0" w:firstLine="0"/>
        <w:jc w:val="center"/>
      </w:pPr>
      <w:r>
        <w:rPr>
          <w:rFonts w:ascii="Verdana" w:eastAsia="Verdana" w:hAnsi="Verdana" w:cs="Verdana"/>
        </w:rPr>
        <w:t xml:space="preserve"> </w:t>
      </w:r>
    </w:p>
    <w:p w:rsidR="002A0D61" w:rsidRDefault="00BF2516">
      <w:pPr>
        <w:spacing w:after="5021" w:line="240" w:lineRule="auto"/>
        <w:ind w:left="0" w:right="0" w:firstLine="0"/>
        <w:jc w:val="center"/>
      </w:pPr>
      <w:r>
        <w:rPr>
          <w:rFonts w:ascii="Verdana" w:eastAsia="Verdana" w:hAnsi="Verdana" w:cs="Verdana"/>
        </w:rPr>
        <w:t xml:space="preserve"> </w:t>
      </w:r>
    </w:p>
    <w:p w:rsidR="002A0D61" w:rsidRDefault="00BF2516" w:rsidP="00676342">
      <w:pPr>
        <w:spacing w:after="165" w:line="240" w:lineRule="auto"/>
        <w:ind w:left="0" w:right="0" w:firstLine="0"/>
        <w:jc w:val="left"/>
      </w:pPr>
      <w:r>
        <w:rPr>
          <w:b/>
          <w:sz w:val="36"/>
        </w:rPr>
        <w:lastRenderedPageBreak/>
        <w:t>WYKONYWANIE POKRYĆ DACHOWYCH</w:t>
      </w:r>
    </w:p>
    <w:p w:rsidR="002A0D61" w:rsidRDefault="00BF2516" w:rsidP="00676342">
      <w:pPr>
        <w:spacing w:after="3945" w:line="413" w:lineRule="auto"/>
        <w:ind w:left="10" w:right="-15"/>
        <w:jc w:val="left"/>
      </w:pPr>
      <w:r>
        <w:rPr>
          <w:b/>
          <w:sz w:val="28"/>
        </w:rPr>
        <w:t>OBRÓBKI BLACHARSKIE</w:t>
      </w:r>
    </w:p>
    <w:p w:rsidR="002A0D61" w:rsidRDefault="009B3373" w:rsidP="00676342">
      <w:pPr>
        <w:spacing w:after="538" w:line="240" w:lineRule="auto"/>
        <w:ind w:left="0" w:right="0" w:firstLine="0"/>
        <w:jc w:val="left"/>
      </w:pPr>
      <w:r>
        <w:rPr>
          <w:b/>
        </w:rPr>
        <w:br w:type="column"/>
      </w:r>
      <w:r w:rsidR="00BF2516">
        <w:rPr>
          <w:b/>
        </w:rPr>
        <w:lastRenderedPageBreak/>
        <w:t>SPIS TREŚCI</w:t>
      </w:r>
    </w:p>
    <w:p w:rsidR="002A0D61" w:rsidRDefault="00BF2516">
      <w:pPr>
        <w:numPr>
          <w:ilvl w:val="0"/>
          <w:numId w:val="1"/>
        </w:numPr>
        <w:ind w:hanging="323"/>
      </w:pPr>
      <w:r>
        <w:t>WSTĘP ............................................................................................................................................</w:t>
      </w:r>
      <w:r w:rsidR="003F294A">
        <w:t xml:space="preserve"> </w:t>
      </w:r>
      <w:r>
        <w:t xml:space="preserve"> </w:t>
      </w:r>
      <w:r>
        <w:rPr>
          <w:rFonts w:ascii="Arial" w:eastAsia="Arial" w:hAnsi="Arial" w:cs="Arial"/>
        </w:rPr>
        <w:t>3</w:t>
      </w:r>
    </w:p>
    <w:p w:rsidR="002A0D61" w:rsidRDefault="00BF2516" w:rsidP="003F294A">
      <w:pPr>
        <w:numPr>
          <w:ilvl w:val="1"/>
          <w:numId w:val="1"/>
        </w:numPr>
        <w:ind w:left="1843" w:hanging="425"/>
      </w:pPr>
      <w:r>
        <w:t>Przedmiot</w:t>
      </w:r>
      <w:r w:rsidR="003F294A">
        <w:t xml:space="preserve"> </w:t>
      </w:r>
      <w:r>
        <w:t>ST ..............................................................................................</w:t>
      </w:r>
      <w:r w:rsidR="003F294A">
        <w:t xml:space="preserve">........................... </w:t>
      </w:r>
      <w:r>
        <w:t xml:space="preserve"> </w:t>
      </w:r>
      <w:r>
        <w:rPr>
          <w:rFonts w:ascii="Arial" w:eastAsia="Arial" w:hAnsi="Arial" w:cs="Arial"/>
        </w:rPr>
        <w:t>3</w:t>
      </w:r>
    </w:p>
    <w:p w:rsidR="002A0D61" w:rsidRDefault="00BF2516" w:rsidP="003F294A">
      <w:pPr>
        <w:numPr>
          <w:ilvl w:val="1"/>
          <w:numId w:val="1"/>
        </w:numPr>
        <w:ind w:left="1843" w:hanging="425"/>
      </w:pPr>
      <w:r>
        <w:t xml:space="preserve">Zakres stosowania ST ............................................................................................................. </w:t>
      </w:r>
      <w:r>
        <w:rPr>
          <w:rFonts w:ascii="Arial" w:eastAsia="Arial" w:hAnsi="Arial" w:cs="Arial"/>
        </w:rPr>
        <w:t>3</w:t>
      </w:r>
    </w:p>
    <w:p w:rsidR="002A0D61" w:rsidRDefault="00BF2516" w:rsidP="003F294A">
      <w:pPr>
        <w:numPr>
          <w:ilvl w:val="1"/>
          <w:numId w:val="1"/>
        </w:numPr>
        <w:ind w:left="1843" w:hanging="425"/>
      </w:pPr>
      <w:r>
        <w:t xml:space="preserve">Zakres robót objętych ST ...................................................................................................... </w:t>
      </w:r>
      <w:r w:rsidR="003F294A">
        <w:t xml:space="preserve"> </w:t>
      </w:r>
      <w:r>
        <w:rPr>
          <w:rFonts w:ascii="Arial" w:eastAsia="Arial" w:hAnsi="Arial" w:cs="Arial"/>
        </w:rPr>
        <w:t>3</w:t>
      </w:r>
    </w:p>
    <w:p w:rsidR="002A0D61" w:rsidRDefault="00BF2516" w:rsidP="003F294A">
      <w:pPr>
        <w:numPr>
          <w:ilvl w:val="1"/>
          <w:numId w:val="1"/>
        </w:numPr>
        <w:ind w:left="1843" w:hanging="425"/>
      </w:pPr>
      <w:r>
        <w:t xml:space="preserve">Podstawowe określenia ......................................................................................................... </w:t>
      </w:r>
      <w:r>
        <w:rPr>
          <w:rFonts w:ascii="Arial" w:eastAsia="Arial" w:hAnsi="Arial" w:cs="Arial"/>
        </w:rPr>
        <w:t>3</w:t>
      </w:r>
    </w:p>
    <w:p w:rsidR="002A0D61" w:rsidRDefault="00BF2516" w:rsidP="003F294A">
      <w:pPr>
        <w:numPr>
          <w:ilvl w:val="1"/>
          <w:numId w:val="1"/>
        </w:numPr>
        <w:ind w:left="1843" w:hanging="425"/>
      </w:pPr>
      <w:r>
        <w:t>Ogólne wymagania dotyczące robót ...................................................................................</w:t>
      </w:r>
      <w:r w:rsidR="003F294A">
        <w:t>..</w:t>
      </w:r>
      <w:r>
        <w:t xml:space="preserve"> </w:t>
      </w:r>
      <w:r>
        <w:rPr>
          <w:rFonts w:ascii="Arial" w:eastAsia="Arial" w:hAnsi="Arial" w:cs="Arial"/>
        </w:rPr>
        <w:t>3</w:t>
      </w:r>
    </w:p>
    <w:p w:rsidR="002A0D61" w:rsidRDefault="00BF2516">
      <w:pPr>
        <w:numPr>
          <w:ilvl w:val="0"/>
          <w:numId w:val="1"/>
        </w:numPr>
        <w:ind w:hanging="323"/>
      </w:pPr>
      <w:r>
        <w:t>MATERIAŁY .................................................................................................................................</w:t>
      </w:r>
      <w:r w:rsidR="003F294A">
        <w:t>...</w:t>
      </w:r>
      <w:r>
        <w:t xml:space="preserve">. </w:t>
      </w:r>
      <w:r>
        <w:rPr>
          <w:rFonts w:ascii="Arial" w:eastAsia="Arial" w:hAnsi="Arial" w:cs="Arial"/>
        </w:rPr>
        <w:t>3</w:t>
      </w:r>
    </w:p>
    <w:p w:rsidR="002A0D61" w:rsidRDefault="00BF2516">
      <w:pPr>
        <w:numPr>
          <w:ilvl w:val="0"/>
          <w:numId w:val="1"/>
        </w:numPr>
        <w:ind w:hanging="323"/>
      </w:pPr>
      <w:r>
        <w:t>SPRZĘT .........................................................................................................................................</w:t>
      </w:r>
      <w:r w:rsidR="003F294A">
        <w:t>.</w:t>
      </w:r>
      <w:r>
        <w:t xml:space="preserve">.. </w:t>
      </w:r>
      <w:r>
        <w:rPr>
          <w:rFonts w:ascii="Arial" w:eastAsia="Arial" w:hAnsi="Arial" w:cs="Arial"/>
        </w:rPr>
        <w:t>4</w:t>
      </w:r>
    </w:p>
    <w:p w:rsidR="002A0D61" w:rsidRDefault="00BF2516">
      <w:pPr>
        <w:numPr>
          <w:ilvl w:val="0"/>
          <w:numId w:val="1"/>
        </w:numPr>
        <w:ind w:hanging="323"/>
      </w:pPr>
      <w:r>
        <w:t>TRANSPORT .............................................................................................................................</w:t>
      </w:r>
      <w:r w:rsidR="003F294A">
        <w:t>....</w:t>
      </w:r>
      <w:r>
        <w:t xml:space="preserve">... </w:t>
      </w:r>
      <w:r>
        <w:rPr>
          <w:rFonts w:ascii="Arial" w:eastAsia="Arial" w:hAnsi="Arial" w:cs="Arial"/>
        </w:rPr>
        <w:t>4</w:t>
      </w:r>
    </w:p>
    <w:p w:rsidR="002A0D61" w:rsidRDefault="00BF2516">
      <w:pPr>
        <w:numPr>
          <w:ilvl w:val="0"/>
          <w:numId w:val="1"/>
        </w:numPr>
        <w:ind w:hanging="323"/>
      </w:pPr>
      <w:r>
        <w:t>WYKONANIE ROBÓT ...........................................................................................................</w:t>
      </w:r>
      <w:r w:rsidR="003F294A">
        <w:t>..........</w:t>
      </w:r>
      <w:r>
        <w:t xml:space="preserve">.. </w:t>
      </w:r>
      <w:r>
        <w:rPr>
          <w:rFonts w:ascii="Arial" w:eastAsia="Arial" w:hAnsi="Arial" w:cs="Arial"/>
        </w:rPr>
        <w:t>5</w:t>
      </w:r>
    </w:p>
    <w:p w:rsidR="002A0D61" w:rsidRDefault="00BF2516">
      <w:pPr>
        <w:numPr>
          <w:ilvl w:val="0"/>
          <w:numId w:val="1"/>
        </w:numPr>
        <w:ind w:hanging="323"/>
      </w:pPr>
      <w:r>
        <w:t>KONTROLA JAKOŚCI ROBÓT .........................................................................................</w:t>
      </w:r>
      <w:r w:rsidR="003F294A">
        <w:t>..............</w:t>
      </w:r>
      <w:r>
        <w:t xml:space="preserve">.. </w:t>
      </w:r>
      <w:r>
        <w:rPr>
          <w:rFonts w:ascii="Arial" w:eastAsia="Arial" w:hAnsi="Arial" w:cs="Arial"/>
        </w:rPr>
        <w:t>13</w:t>
      </w:r>
    </w:p>
    <w:p w:rsidR="002A0D61" w:rsidRDefault="00BF2516">
      <w:pPr>
        <w:numPr>
          <w:ilvl w:val="0"/>
          <w:numId w:val="1"/>
        </w:numPr>
        <w:ind w:hanging="323"/>
      </w:pPr>
      <w:r>
        <w:t>OBMIAR ROBÓT ...............................................................................................................</w:t>
      </w:r>
      <w:r w:rsidR="003F294A">
        <w:t>.....</w:t>
      </w:r>
      <w:r>
        <w:t xml:space="preserve">....... </w:t>
      </w:r>
      <w:r>
        <w:rPr>
          <w:rFonts w:ascii="Arial" w:eastAsia="Arial" w:hAnsi="Arial" w:cs="Arial"/>
        </w:rPr>
        <w:t>13</w:t>
      </w:r>
    </w:p>
    <w:p w:rsidR="002A0D61" w:rsidRDefault="00BF2516">
      <w:pPr>
        <w:numPr>
          <w:ilvl w:val="0"/>
          <w:numId w:val="1"/>
        </w:numPr>
        <w:ind w:hanging="323"/>
      </w:pPr>
      <w:r>
        <w:t>ODBIÓR ROBÓT ..............................................................................................................</w:t>
      </w:r>
      <w:r w:rsidR="003F294A">
        <w:t>........</w:t>
      </w:r>
      <w:r>
        <w:t xml:space="preserve">...... </w:t>
      </w:r>
      <w:r>
        <w:rPr>
          <w:rFonts w:ascii="Arial" w:eastAsia="Arial" w:hAnsi="Arial" w:cs="Arial"/>
        </w:rPr>
        <w:t>14</w:t>
      </w:r>
    </w:p>
    <w:p w:rsidR="002A0D61" w:rsidRDefault="00BF2516">
      <w:pPr>
        <w:numPr>
          <w:ilvl w:val="0"/>
          <w:numId w:val="1"/>
        </w:numPr>
        <w:ind w:hanging="323"/>
      </w:pPr>
      <w:r>
        <w:t>PODSTAWA PŁATNOŚCI ................................................................................................</w:t>
      </w:r>
      <w:r w:rsidR="003F294A">
        <w:t>..........</w:t>
      </w:r>
      <w:r>
        <w:t xml:space="preserve">..... </w:t>
      </w:r>
      <w:r>
        <w:rPr>
          <w:rFonts w:ascii="Arial" w:eastAsia="Arial" w:hAnsi="Arial" w:cs="Arial"/>
        </w:rPr>
        <w:t>15</w:t>
      </w:r>
    </w:p>
    <w:p w:rsidR="002A0D61" w:rsidRDefault="00BF2516">
      <w:pPr>
        <w:numPr>
          <w:ilvl w:val="0"/>
          <w:numId w:val="1"/>
        </w:numPr>
        <w:spacing w:after="999"/>
        <w:ind w:hanging="323"/>
      </w:pPr>
      <w:r>
        <w:t>PRZEPISY ZWIĄZANE ....................................................................................................</w:t>
      </w:r>
      <w:r w:rsidR="003F294A">
        <w:t>...........</w:t>
      </w:r>
      <w:r>
        <w:t xml:space="preserve">..... </w:t>
      </w:r>
      <w:r>
        <w:rPr>
          <w:rFonts w:ascii="Arial" w:eastAsia="Arial" w:hAnsi="Arial" w:cs="Arial"/>
        </w:rPr>
        <w:t>16</w:t>
      </w:r>
    </w:p>
    <w:p w:rsidR="002A0D61" w:rsidRDefault="00BF2516">
      <w:r>
        <w:t>Najważniejsze oznaczenia i skróty:</w:t>
      </w:r>
    </w:p>
    <w:p w:rsidR="002A0D61" w:rsidRDefault="00BF2516">
      <w:r>
        <w:t>ST – Specyfikacja Techniczna</w:t>
      </w:r>
    </w:p>
    <w:p w:rsidR="002A0D61" w:rsidRDefault="00BF2516">
      <w:r>
        <w:t>SST – Szczegółowa Specyfikacja Techniczna</w:t>
      </w:r>
    </w:p>
    <w:p w:rsidR="002A0D61" w:rsidRDefault="00BF2516">
      <w:pPr>
        <w:spacing w:after="1242"/>
      </w:pPr>
      <w:r>
        <w:t>ITB – Instytut Techniki Budowlanej</w:t>
      </w:r>
    </w:p>
    <w:p w:rsidR="002A0D61" w:rsidRDefault="009B3373">
      <w:pPr>
        <w:pStyle w:val="Nagwek1"/>
      </w:pPr>
      <w:r>
        <w:rPr>
          <w:rFonts w:ascii="Times New Roman" w:eastAsia="Times New Roman" w:hAnsi="Times New Roman" w:cs="Times New Roman"/>
          <w:b w:val="0"/>
        </w:rPr>
        <w:br w:type="column"/>
      </w:r>
      <w:r w:rsidR="00BF2516">
        <w:rPr>
          <w:rFonts w:ascii="Times New Roman" w:eastAsia="Times New Roman" w:hAnsi="Times New Roman" w:cs="Times New Roman"/>
          <w:b w:val="0"/>
        </w:rPr>
        <w:lastRenderedPageBreak/>
        <w:t>1.</w:t>
      </w:r>
      <w:r w:rsidR="00BF2516">
        <w:rPr>
          <w:rFonts w:ascii="Times New Roman" w:eastAsia="Times New Roman" w:hAnsi="Times New Roman" w:cs="Times New Roman"/>
          <w:b w:val="0"/>
        </w:rPr>
        <w:tab/>
      </w:r>
      <w:r w:rsidR="00BF2516">
        <w:t>WSTĘP</w:t>
      </w:r>
    </w:p>
    <w:p w:rsidR="002A0D61" w:rsidRDefault="00BF2516">
      <w:pPr>
        <w:pStyle w:val="Nagwek2"/>
      </w:pPr>
      <w:r>
        <w:rPr>
          <w:rFonts w:ascii="Times New Roman" w:eastAsia="Times New Roman" w:hAnsi="Times New Roman" w:cs="Times New Roman"/>
          <w:b w:val="0"/>
        </w:rPr>
        <w:t xml:space="preserve">1.1. </w:t>
      </w:r>
      <w:r>
        <w:t xml:space="preserve">Przedmiot ST </w:t>
      </w:r>
    </w:p>
    <w:p w:rsidR="002A0D61" w:rsidRDefault="00BF2516">
      <w:pPr>
        <w:spacing w:after="409"/>
      </w:pPr>
      <w:r>
        <w:t xml:space="preserve">Przedmiotem niniejszej standardowej specyfikacji technicznej (ST) są wymagania dotyczące wykonania i odbioru </w:t>
      </w:r>
      <w:bookmarkStart w:id="0" w:name="_GoBack"/>
      <w:r>
        <w:t>pokryć dachowych blachą wraz z obróbkami blacharskimi</w:t>
      </w:r>
      <w:bookmarkEnd w:id="0"/>
      <w:r>
        <w:t>.</w:t>
      </w:r>
    </w:p>
    <w:p w:rsidR="002A0D61" w:rsidRDefault="00BF2516">
      <w:pPr>
        <w:pStyle w:val="Nagwek2"/>
      </w:pPr>
      <w:r>
        <w:rPr>
          <w:rFonts w:ascii="Times New Roman" w:eastAsia="Times New Roman" w:hAnsi="Times New Roman" w:cs="Times New Roman"/>
          <w:b w:val="0"/>
        </w:rPr>
        <w:t xml:space="preserve">1.2. </w:t>
      </w:r>
      <w:r>
        <w:t>Zakres stosowania ST</w:t>
      </w:r>
    </w:p>
    <w:p w:rsidR="002A0D61" w:rsidRDefault="00BF2516">
      <w:r>
        <w:t xml:space="preserve">Specyfikacja techniczna (ST) stanowi obowiązującą podstawę opracowania szczegółowej specyfikacji technicznej ( SST) i jest stosowana jako dokument przetargowy i kontraktowy przy zlecaniu i realizacji robót wymienionych w pkt. </w:t>
      </w:r>
      <w:r>
        <w:rPr>
          <w:rFonts w:ascii="Arial" w:eastAsia="Arial" w:hAnsi="Arial" w:cs="Arial"/>
        </w:rPr>
        <w:t>1</w:t>
      </w:r>
      <w:r>
        <w:t>.</w:t>
      </w:r>
      <w:r>
        <w:rPr>
          <w:rFonts w:ascii="Arial" w:eastAsia="Arial" w:hAnsi="Arial" w:cs="Arial"/>
        </w:rPr>
        <w:t>1</w:t>
      </w:r>
      <w:r>
        <w:t>.</w:t>
      </w:r>
    </w:p>
    <w:p w:rsidR="002A0D61" w:rsidRDefault="00BF2516">
      <w:pPr>
        <w:ind w:left="-15" w:firstLine="286"/>
      </w:pPr>
      <w: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zadania, obiektu i robót, uwzględniające wymagania Zamawiającego oraz konkretne warunki realizacji zadania, obiektu i robót, które są niezbędne do określania ich standardu i jakości.</w:t>
      </w:r>
    </w:p>
    <w:p w:rsidR="002A0D61" w:rsidRDefault="00BF2516">
      <w:pPr>
        <w:spacing w:after="410"/>
        <w:ind w:left="-15" w:firstLine="286"/>
      </w:pPr>
      <w: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rsidR="002A0D61" w:rsidRDefault="00BF2516">
      <w:pPr>
        <w:pStyle w:val="Nagwek2"/>
      </w:pPr>
      <w:r>
        <w:rPr>
          <w:rFonts w:ascii="Times New Roman" w:eastAsia="Times New Roman" w:hAnsi="Times New Roman" w:cs="Times New Roman"/>
          <w:b w:val="0"/>
        </w:rPr>
        <w:t xml:space="preserve">1.3. </w:t>
      </w:r>
      <w:r>
        <w:t>Zakres robót objętych ST</w:t>
      </w:r>
    </w:p>
    <w:p w:rsidR="002A0D61" w:rsidRDefault="00BF2516">
      <w:pPr>
        <w:spacing w:after="410"/>
      </w:pPr>
      <w:r>
        <w:t>Roboty, których dotyczy specyfikacja, obejmują wszystkie czynności umożliwiające i mające na celu wykonanie pokryć dachowych blachą wraz z obróbkami blacharskimi, rynnami i rurami spustowymi oraz elementami wystającymi ponad dach budynku:</w:t>
      </w:r>
    </w:p>
    <w:p w:rsidR="002A0D61" w:rsidRDefault="00BF2516">
      <w:pPr>
        <w:spacing w:after="170"/>
        <w:ind w:right="-15"/>
        <w:jc w:val="left"/>
      </w:pPr>
      <w:r>
        <w:rPr>
          <w:rFonts w:ascii="Times New Roman" w:eastAsia="Times New Roman" w:hAnsi="Times New Roman" w:cs="Times New Roman"/>
        </w:rPr>
        <w:t xml:space="preserve">1.4. </w:t>
      </w:r>
      <w:r>
        <w:rPr>
          <w:b/>
        </w:rPr>
        <w:t>Określenia podstawowe</w:t>
      </w:r>
    </w:p>
    <w:p w:rsidR="002A0D61" w:rsidRDefault="00BF2516">
      <w:pPr>
        <w:spacing w:after="412"/>
      </w:pPr>
      <w:r>
        <w:t xml:space="preserve">Określenia podane w niniejszej ST są zgodne z obowiązującymi odpowiednimi normami oraz określeniami podanymi w „Wymagania ogólne” </w:t>
      </w:r>
    </w:p>
    <w:p w:rsidR="002A0D61" w:rsidRDefault="00BF2516">
      <w:pPr>
        <w:pStyle w:val="Nagwek2"/>
      </w:pPr>
      <w:r>
        <w:rPr>
          <w:rFonts w:ascii="Times New Roman" w:eastAsia="Times New Roman" w:hAnsi="Times New Roman" w:cs="Times New Roman"/>
          <w:b w:val="0"/>
        </w:rPr>
        <w:t xml:space="preserve">1.5. </w:t>
      </w:r>
      <w:r>
        <w:t>Ogólne wymagania dotyczące robót</w:t>
      </w:r>
    </w:p>
    <w:p w:rsidR="002A0D61" w:rsidRDefault="00BF2516">
      <w:pPr>
        <w:spacing w:after="411"/>
      </w:pPr>
      <w:r>
        <w:t xml:space="preserve">Wykonawca robót jest odpowiedzialny za jakość ich wykonania oraz za zgodność z dokumentacją projektową, ST i poleceniami Inspektora nadzoru. Ogólne wymagania dotyczące robót podano w ST </w:t>
      </w:r>
      <w:r w:rsidR="00676342">
        <w:t>„Wymagania ogólne”</w:t>
      </w:r>
      <w:r>
        <w:t>.</w:t>
      </w:r>
    </w:p>
    <w:p w:rsidR="002A0D61" w:rsidRDefault="00BF2516">
      <w:pPr>
        <w:pStyle w:val="Nagwek1"/>
      </w:pPr>
      <w:r>
        <w:rPr>
          <w:rFonts w:ascii="Times New Roman" w:eastAsia="Times New Roman" w:hAnsi="Times New Roman" w:cs="Times New Roman"/>
          <w:b w:val="0"/>
        </w:rPr>
        <w:t>2.</w:t>
      </w:r>
      <w:r>
        <w:rPr>
          <w:rFonts w:ascii="Times New Roman" w:eastAsia="Times New Roman" w:hAnsi="Times New Roman" w:cs="Times New Roman"/>
          <w:b w:val="0"/>
        </w:rPr>
        <w:tab/>
      </w:r>
      <w:r>
        <w:t>MATERIAŁY</w:t>
      </w:r>
    </w:p>
    <w:p w:rsidR="002A0D61" w:rsidRDefault="00BF2516">
      <w:pPr>
        <w:spacing w:after="170"/>
        <w:ind w:left="405" w:right="-15" w:hanging="420"/>
        <w:jc w:val="left"/>
      </w:pPr>
      <w:r>
        <w:rPr>
          <w:rFonts w:ascii="Times New Roman" w:eastAsia="Times New Roman" w:hAnsi="Times New Roman" w:cs="Times New Roman"/>
        </w:rPr>
        <w:t xml:space="preserve">2.1. </w:t>
      </w:r>
      <w:r>
        <w:rPr>
          <w:b/>
        </w:rPr>
        <w:t xml:space="preserve">Ogólne wymagania dotyczące materiałów, ich pozyskiwania i składowania podano w ST </w:t>
      </w:r>
      <w:r w:rsidR="00676342">
        <w:rPr>
          <w:b/>
        </w:rPr>
        <w:t xml:space="preserve">„Wymagania ogólne” </w:t>
      </w:r>
    </w:p>
    <w:p w:rsidR="002A0D61" w:rsidRDefault="00BF2516">
      <w:r>
        <w:t>Ponadto materiały stosowane do wykonywania pokryć dachowych powinny mieć m.in.:</w:t>
      </w:r>
    </w:p>
    <w:p w:rsidR="002A0D61" w:rsidRDefault="00BF2516">
      <w:pPr>
        <w:numPr>
          <w:ilvl w:val="0"/>
          <w:numId w:val="2"/>
        </w:numPr>
        <w:ind w:hanging="286"/>
      </w:pPr>
      <w:r>
        <w:t>Aprobaty Techniczne lub być produkowane zgodnie z obowiązującymi normami,</w:t>
      </w:r>
    </w:p>
    <w:p w:rsidR="002A0D61" w:rsidRDefault="00BF2516">
      <w:pPr>
        <w:numPr>
          <w:ilvl w:val="0"/>
          <w:numId w:val="2"/>
        </w:numPr>
        <w:ind w:hanging="286"/>
      </w:pPr>
      <w:r>
        <w:t>Certyfikat lub Deklarację Zgodności z Aprobatą Techniczną lub z PN,</w:t>
      </w:r>
    </w:p>
    <w:p w:rsidR="002A0D61" w:rsidRDefault="00BF2516">
      <w:pPr>
        <w:numPr>
          <w:ilvl w:val="0"/>
          <w:numId w:val="2"/>
        </w:numPr>
        <w:ind w:hanging="286"/>
      </w:pPr>
      <w:r>
        <w:t>Certyfikat na znak bezpieczeństwa,</w:t>
      </w:r>
    </w:p>
    <w:p w:rsidR="002A0D61" w:rsidRDefault="00BF2516">
      <w:pPr>
        <w:numPr>
          <w:ilvl w:val="0"/>
          <w:numId w:val="2"/>
        </w:numPr>
        <w:ind w:hanging="286"/>
      </w:pPr>
      <w:r>
        <w:t>Certyfikat zgodności ze zharmonizowaną normą europejską wprowadzoną do zbioru norm polskich,</w:t>
      </w:r>
    </w:p>
    <w:p w:rsidR="002A0D61" w:rsidRDefault="00BF2516">
      <w:pPr>
        <w:numPr>
          <w:ilvl w:val="0"/>
          <w:numId w:val="2"/>
        </w:numPr>
        <w:ind w:hanging="286"/>
      </w:pPr>
      <w:r>
        <w:t>na opakowaniach powinien znajdować się termin przydatności do stosowania.</w:t>
      </w:r>
    </w:p>
    <w:p w:rsidR="002A0D61" w:rsidRDefault="00BF2516">
      <w:pPr>
        <w:spacing w:after="168"/>
        <w:ind w:left="10" w:right="-15"/>
        <w:jc w:val="center"/>
      </w:pPr>
      <w:r>
        <w:t>Sposób transportu i składowania powinien być zgodny z warunkami i wymaganiami podanymi przez producenta.</w:t>
      </w:r>
    </w:p>
    <w:p w:rsidR="002A0D61" w:rsidRDefault="00BF2516">
      <w:pPr>
        <w:spacing w:after="0"/>
        <w:ind w:left="-15" w:firstLine="286"/>
      </w:pPr>
      <w:r>
        <w:t>Wykonawca obowiązany jest posiadać na budowie pełną dokumentację dotyczącą składowanych na budowie materiałów przeznaczonych do wykonania pokryć dachowych.</w:t>
      </w:r>
    </w:p>
    <w:p w:rsidR="002A0D61" w:rsidRDefault="00BF2516">
      <w:pPr>
        <w:spacing w:after="170"/>
        <w:ind w:right="-15"/>
        <w:jc w:val="left"/>
      </w:pPr>
      <w:r>
        <w:rPr>
          <w:rFonts w:ascii="Times New Roman" w:eastAsia="Times New Roman" w:hAnsi="Times New Roman" w:cs="Times New Roman"/>
        </w:rPr>
        <w:lastRenderedPageBreak/>
        <w:t xml:space="preserve">2.2. </w:t>
      </w:r>
      <w:r>
        <w:rPr>
          <w:b/>
        </w:rPr>
        <w:t>Rodzaje materiałów</w:t>
      </w:r>
    </w:p>
    <w:p w:rsidR="002A0D61" w:rsidRDefault="00BF2516">
      <w:pPr>
        <w:numPr>
          <w:ilvl w:val="2"/>
          <w:numId w:val="5"/>
        </w:numPr>
        <w:ind w:hanging="570"/>
      </w:pPr>
      <w:r>
        <w:t>Wszelkie materiały do wykonania pokryć dachowych powinny odpowiadać wymaganiom zawartym w normach polskich lub aprobatach technicznych ITB dopuszczających dany materiał do powszechnego stosowania w budownictwie.</w:t>
      </w:r>
    </w:p>
    <w:p w:rsidR="002A0D61" w:rsidRDefault="00BF2516">
      <w:pPr>
        <w:numPr>
          <w:ilvl w:val="2"/>
          <w:numId w:val="5"/>
        </w:numPr>
        <w:ind w:hanging="570"/>
      </w:pPr>
      <w:r>
        <w:t>Blacha stalowa ocynkowana płaska powinna odpowiadać normom PN-</w:t>
      </w:r>
      <w:r>
        <w:rPr>
          <w:rFonts w:ascii="Arial" w:eastAsia="Arial" w:hAnsi="Arial" w:cs="Arial"/>
        </w:rPr>
        <w:t>61</w:t>
      </w:r>
      <w:r>
        <w:t>/B-</w:t>
      </w:r>
      <w:r>
        <w:rPr>
          <w:rFonts w:ascii="Arial" w:eastAsia="Arial" w:hAnsi="Arial" w:cs="Arial"/>
        </w:rPr>
        <w:t>10245</w:t>
      </w:r>
      <w:r>
        <w:t xml:space="preserve"> i PN-</w:t>
      </w:r>
      <w:r>
        <w:rPr>
          <w:rFonts w:ascii="Arial" w:eastAsia="Arial" w:hAnsi="Arial" w:cs="Arial"/>
        </w:rPr>
        <w:t>73</w:t>
      </w:r>
      <w:r>
        <w:t>/H-</w:t>
      </w:r>
      <w:r>
        <w:rPr>
          <w:rFonts w:ascii="Arial" w:eastAsia="Arial" w:hAnsi="Arial" w:cs="Arial"/>
        </w:rPr>
        <w:t>92122</w:t>
      </w:r>
      <w:r>
        <w:t xml:space="preserve">. Grubość blachy </w:t>
      </w:r>
      <w:r>
        <w:rPr>
          <w:rFonts w:ascii="Arial" w:eastAsia="Arial" w:hAnsi="Arial" w:cs="Arial"/>
        </w:rPr>
        <w:t>0,5</w:t>
      </w:r>
      <w:r>
        <w:t xml:space="preserve"> mm do </w:t>
      </w:r>
      <w:r>
        <w:rPr>
          <w:rFonts w:ascii="Arial" w:eastAsia="Arial" w:hAnsi="Arial" w:cs="Arial"/>
        </w:rPr>
        <w:t>0,55</w:t>
      </w:r>
      <w:r>
        <w:t xml:space="preserve"> mm, obustronnie ocynkowane metodą ogniową – równą warstwą cynku ( </w:t>
      </w:r>
      <w:r>
        <w:rPr>
          <w:rFonts w:ascii="Arial" w:eastAsia="Arial" w:hAnsi="Arial" w:cs="Arial"/>
        </w:rPr>
        <w:t>275</w:t>
      </w:r>
      <w:r>
        <w:t xml:space="preserve"> g/m</w:t>
      </w:r>
      <w:r>
        <w:rPr>
          <w:rFonts w:ascii="Arial" w:eastAsia="Arial" w:hAnsi="Arial" w:cs="Arial"/>
          <w:sz w:val="15"/>
          <w:vertAlign w:val="superscript"/>
        </w:rPr>
        <w:t>2</w:t>
      </w:r>
      <w:r>
        <w:t xml:space="preserve">) oraz pokryta warstwą </w:t>
      </w:r>
      <w:proofErr w:type="spellStart"/>
      <w:r>
        <w:t>pasywacyjną</w:t>
      </w:r>
      <w:proofErr w:type="spellEnd"/>
      <w:r>
        <w:t xml:space="preserve"> mającą działanie antykorozyjne i zabezpieczające.</w:t>
      </w:r>
    </w:p>
    <w:p w:rsidR="002A0D61" w:rsidRDefault="00BF2516">
      <w:pPr>
        <w:ind w:left="580"/>
      </w:pPr>
      <w:r>
        <w:t xml:space="preserve">Występuje w arkuszach o wym. </w:t>
      </w:r>
      <w:r>
        <w:rPr>
          <w:rFonts w:ascii="Arial" w:eastAsia="Arial" w:hAnsi="Arial" w:cs="Arial"/>
        </w:rPr>
        <w:t>1000</w:t>
      </w:r>
      <w:r>
        <w:t>x</w:t>
      </w:r>
      <w:r>
        <w:rPr>
          <w:rFonts w:ascii="Arial" w:eastAsia="Arial" w:hAnsi="Arial" w:cs="Arial"/>
        </w:rPr>
        <w:t>2000</w:t>
      </w:r>
      <w:r>
        <w:t xml:space="preserve"> mm lub </w:t>
      </w:r>
      <w:r>
        <w:rPr>
          <w:rFonts w:ascii="Arial" w:eastAsia="Arial" w:hAnsi="Arial" w:cs="Arial"/>
        </w:rPr>
        <w:t>1250</w:t>
      </w:r>
      <w:r>
        <w:t>x</w:t>
      </w:r>
      <w:r>
        <w:rPr>
          <w:rFonts w:ascii="Arial" w:eastAsia="Arial" w:hAnsi="Arial" w:cs="Arial"/>
        </w:rPr>
        <w:t>2000</w:t>
      </w:r>
      <w:r>
        <w:t xml:space="preserve"> mm.</w:t>
      </w:r>
    </w:p>
    <w:p w:rsidR="002A0D61" w:rsidRDefault="00BF2516">
      <w:pPr>
        <w:numPr>
          <w:ilvl w:val="2"/>
          <w:numId w:val="5"/>
        </w:numPr>
        <w:ind w:hanging="570"/>
      </w:pPr>
      <w:r>
        <w:t>Inne blachy płaskie:</w:t>
      </w:r>
    </w:p>
    <w:p w:rsidR="002A0D61" w:rsidRDefault="00BF2516">
      <w:pPr>
        <w:numPr>
          <w:ilvl w:val="3"/>
          <w:numId w:val="3"/>
        </w:numPr>
        <w:ind w:hanging="360"/>
      </w:pPr>
      <w:r>
        <w:t xml:space="preserve">blacha stalowa powlekana powłokami poliestrowymi, grubości </w:t>
      </w:r>
      <w:r>
        <w:rPr>
          <w:rFonts w:ascii="Arial" w:eastAsia="Arial" w:hAnsi="Arial" w:cs="Arial"/>
        </w:rPr>
        <w:t>0,5-0,55</w:t>
      </w:r>
      <w:r>
        <w:t xml:space="preserve"> mm, arkusze o wym. </w:t>
      </w:r>
      <w:r>
        <w:rPr>
          <w:rFonts w:ascii="Arial" w:eastAsia="Arial" w:hAnsi="Arial" w:cs="Arial"/>
        </w:rPr>
        <w:t>1000</w:t>
      </w:r>
      <w:r>
        <w:t xml:space="preserve">x </w:t>
      </w:r>
      <w:r>
        <w:rPr>
          <w:rFonts w:ascii="Arial" w:eastAsia="Arial" w:hAnsi="Arial" w:cs="Arial"/>
        </w:rPr>
        <w:t>2000</w:t>
      </w:r>
      <w:r>
        <w:t xml:space="preserve"> mm lub </w:t>
      </w:r>
      <w:r>
        <w:rPr>
          <w:rFonts w:ascii="Arial" w:eastAsia="Arial" w:hAnsi="Arial" w:cs="Arial"/>
        </w:rPr>
        <w:t>1250</w:t>
      </w:r>
      <w:r>
        <w:t>x</w:t>
      </w:r>
      <w:r>
        <w:rPr>
          <w:rFonts w:ascii="Arial" w:eastAsia="Arial" w:hAnsi="Arial" w:cs="Arial"/>
        </w:rPr>
        <w:t>2000</w:t>
      </w:r>
      <w:r>
        <w:t xml:space="preserve"> mm.</w:t>
      </w:r>
    </w:p>
    <w:p w:rsidR="002A0D61" w:rsidRDefault="00BF2516">
      <w:pPr>
        <w:numPr>
          <w:ilvl w:val="3"/>
          <w:numId w:val="3"/>
        </w:numPr>
        <w:ind w:hanging="360"/>
      </w:pPr>
      <w:r>
        <w:t xml:space="preserve">blacha </w:t>
      </w:r>
      <w:proofErr w:type="spellStart"/>
      <w:r>
        <w:t>tytanowo-cynkowa</w:t>
      </w:r>
      <w:proofErr w:type="spellEnd"/>
      <w:r>
        <w:t xml:space="preserve">, grubości </w:t>
      </w:r>
      <w:r>
        <w:rPr>
          <w:rFonts w:ascii="Arial" w:eastAsia="Arial" w:hAnsi="Arial" w:cs="Arial"/>
        </w:rPr>
        <w:t>0,5-0,55</w:t>
      </w:r>
      <w:r>
        <w:t xml:space="preserve"> mm, arkusze o wym. </w:t>
      </w:r>
      <w:r>
        <w:rPr>
          <w:rFonts w:ascii="Arial" w:eastAsia="Arial" w:hAnsi="Arial" w:cs="Arial"/>
        </w:rPr>
        <w:t>1000</w:t>
      </w:r>
      <w:r>
        <w:t>x</w:t>
      </w:r>
      <w:r>
        <w:rPr>
          <w:rFonts w:ascii="Arial" w:eastAsia="Arial" w:hAnsi="Arial" w:cs="Arial"/>
        </w:rPr>
        <w:t>2000</w:t>
      </w:r>
      <w:r>
        <w:t xml:space="preserve"> mm.</w:t>
      </w:r>
    </w:p>
    <w:p w:rsidR="002A0D61" w:rsidRDefault="00BF2516">
      <w:pPr>
        <w:numPr>
          <w:ilvl w:val="3"/>
          <w:numId w:val="3"/>
        </w:numPr>
        <w:ind w:hanging="360"/>
      </w:pPr>
      <w:r>
        <w:t xml:space="preserve">blacha miedziana, grubości </w:t>
      </w:r>
      <w:r>
        <w:rPr>
          <w:rFonts w:ascii="Arial" w:eastAsia="Arial" w:hAnsi="Arial" w:cs="Arial"/>
        </w:rPr>
        <w:t>0,5-0,55</w:t>
      </w:r>
      <w:r>
        <w:t xml:space="preserve"> mm, taśma szerokości </w:t>
      </w:r>
      <w:r>
        <w:rPr>
          <w:rFonts w:ascii="Arial" w:eastAsia="Arial" w:hAnsi="Arial" w:cs="Arial"/>
        </w:rPr>
        <w:t>670</w:t>
      </w:r>
      <w:r>
        <w:t xml:space="preserve"> mm.</w:t>
      </w:r>
    </w:p>
    <w:p w:rsidR="002A0D61" w:rsidRDefault="00BF2516">
      <w:pPr>
        <w:numPr>
          <w:ilvl w:val="2"/>
          <w:numId w:val="4"/>
        </w:numPr>
        <w:ind w:hanging="570"/>
      </w:pPr>
      <w:r>
        <w:t xml:space="preserve">Blachy profilowe, grubości </w:t>
      </w:r>
      <w:r>
        <w:rPr>
          <w:rFonts w:ascii="Arial" w:eastAsia="Arial" w:hAnsi="Arial" w:cs="Arial"/>
        </w:rPr>
        <w:t>0,5-0,7</w:t>
      </w:r>
      <w:r>
        <w:t xml:space="preserve"> mm powlekane, na stronie licowej powłokami poliestrowymi </w:t>
      </w:r>
      <w:r>
        <w:rPr>
          <w:rFonts w:ascii="Arial" w:eastAsia="Arial" w:hAnsi="Arial" w:cs="Arial"/>
        </w:rPr>
        <w:t xml:space="preserve">25 </w:t>
      </w:r>
      <w:r>
        <w:t xml:space="preserve">mikrometrów lub </w:t>
      </w:r>
      <w:r>
        <w:rPr>
          <w:rFonts w:ascii="Arial" w:eastAsia="Arial" w:hAnsi="Arial" w:cs="Arial"/>
        </w:rPr>
        <w:t>35</w:t>
      </w:r>
      <w:r>
        <w:t xml:space="preserve"> mikrometrów, na stronie spodniej powłoką epoksydową </w:t>
      </w:r>
      <w:r>
        <w:rPr>
          <w:rFonts w:ascii="Arial" w:eastAsia="Arial" w:hAnsi="Arial" w:cs="Arial"/>
        </w:rPr>
        <w:t>10</w:t>
      </w:r>
      <w:r>
        <w:t xml:space="preserve"> mikrometrów.</w:t>
      </w:r>
    </w:p>
    <w:p w:rsidR="002A0D61" w:rsidRDefault="00BF2516">
      <w:pPr>
        <w:numPr>
          <w:ilvl w:val="2"/>
          <w:numId w:val="4"/>
        </w:numPr>
        <w:ind w:hanging="570"/>
      </w:pPr>
      <w:r>
        <w:t xml:space="preserve">Blachy trapezowe, cynkowane ogniowo, grubości </w:t>
      </w:r>
      <w:r>
        <w:rPr>
          <w:rFonts w:ascii="Arial" w:eastAsia="Arial" w:hAnsi="Arial" w:cs="Arial"/>
        </w:rPr>
        <w:t>0,50</w:t>
      </w:r>
      <w:r>
        <w:t xml:space="preserve">, </w:t>
      </w:r>
      <w:r>
        <w:rPr>
          <w:rFonts w:ascii="Arial" w:eastAsia="Arial" w:hAnsi="Arial" w:cs="Arial"/>
        </w:rPr>
        <w:t>0,55</w:t>
      </w:r>
      <w:r>
        <w:t xml:space="preserve"> i </w:t>
      </w:r>
      <w:r>
        <w:rPr>
          <w:rFonts w:ascii="Arial" w:eastAsia="Arial" w:hAnsi="Arial" w:cs="Arial"/>
        </w:rPr>
        <w:t>0,75</w:t>
      </w:r>
      <w:r>
        <w:t xml:space="preserve"> mm.</w:t>
      </w:r>
    </w:p>
    <w:p w:rsidR="002A0D61" w:rsidRDefault="00BF2516">
      <w:pPr>
        <w:ind w:left="580"/>
      </w:pPr>
      <w:r>
        <w:t>Profile T</w:t>
      </w:r>
      <w:r>
        <w:rPr>
          <w:rFonts w:ascii="Arial" w:eastAsia="Arial" w:hAnsi="Arial" w:cs="Arial"/>
        </w:rPr>
        <w:t>7</w:t>
      </w:r>
      <w:r>
        <w:t>, T</w:t>
      </w:r>
      <w:r>
        <w:rPr>
          <w:rFonts w:ascii="Arial" w:eastAsia="Arial" w:hAnsi="Arial" w:cs="Arial"/>
        </w:rPr>
        <w:t>12</w:t>
      </w:r>
      <w:r>
        <w:t>, T</w:t>
      </w:r>
      <w:r>
        <w:rPr>
          <w:rFonts w:ascii="Arial" w:eastAsia="Arial" w:hAnsi="Arial" w:cs="Arial"/>
        </w:rPr>
        <w:t>18</w:t>
      </w:r>
      <w:r>
        <w:t>, T</w:t>
      </w:r>
      <w:r>
        <w:rPr>
          <w:rFonts w:ascii="Arial" w:eastAsia="Arial" w:hAnsi="Arial" w:cs="Arial"/>
        </w:rPr>
        <w:t>18</w:t>
      </w:r>
      <w:r>
        <w:t>EKO, T</w:t>
      </w:r>
      <w:r>
        <w:rPr>
          <w:rFonts w:ascii="Arial" w:eastAsia="Arial" w:hAnsi="Arial" w:cs="Arial"/>
        </w:rPr>
        <w:t>35</w:t>
      </w:r>
      <w:r>
        <w:t xml:space="preserve"> powlekane lakierem.</w:t>
      </w:r>
    </w:p>
    <w:p w:rsidR="002A0D61" w:rsidRDefault="00BF2516">
      <w:pPr>
        <w:numPr>
          <w:ilvl w:val="2"/>
          <w:numId w:val="4"/>
        </w:numPr>
        <w:ind w:hanging="570"/>
      </w:pPr>
      <w:r>
        <w:t xml:space="preserve">Blachy dachówkowe, grubości </w:t>
      </w:r>
      <w:r>
        <w:rPr>
          <w:rFonts w:ascii="Arial" w:eastAsia="Arial" w:hAnsi="Arial" w:cs="Arial"/>
        </w:rPr>
        <w:t>0,5-0,7</w:t>
      </w:r>
      <w:r>
        <w:t xml:space="preserve"> mm, obustronnie cynkowane metodą ogniową, pokryte powłokami poliestrowymi w wielu kolorach oraz pokryte warstwą </w:t>
      </w:r>
      <w:proofErr w:type="spellStart"/>
      <w:r>
        <w:t>pasywacyjną</w:t>
      </w:r>
      <w:proofErr w:type="spellEnd"/>
      <w:r>
        <w:t>.</w:t>
      </w:r>
    </w:p>
    <w:p w:rsidR="002A0D61" w:rsidRDefault="00BF2516">
      <w:pPr>
        <w:ind w:left="580"/>
      </w:pPr>
      <w:r>
        <w:t xml:space="preserve">Szerokości arkuszy </w:t>
      </w:r>
      <w:r>
        <w:rPr>
          <w:rFonts w:ascii="Arial" w:eastAsia="Arial" w:hAnsi="Arial" w:cs="Arial"/>
        </w:rPr>
        <w:t>1185</w:t>
      </w:r>
      <w:r>
        <w:t xml:space="preserve"> mm, a długość od </w:t>
      </w:r>
      <w:r>
        <w:rPr>
          <w:rFonts w:ascii="Arial" w:eastAsia="Arial" w:hAnsi="Arial" w:cs="Arial"/>
        </w:rPr>
        <w:t>860-7200</w:t>
      </w:r>
      <w:r>
        <w:t xml:space="preserve"> mm.</w:t>
      </w:r>
    </w:p>
    <w:p w:rsidR="002A0D61" w:rsidRDefault="00BF2516">
      <w:pPr>
        <w:numPr>
          <w:ilvl w:val="2"/>
          <w:numId w:val="4"/>
        </w:numPr>
        <w:ind w:hanging="570"/>
      </w:pPr>
      <w:r>
        <w:t>Płyty z tworzyw sztucznych:</w:t>
      </w:r>
    </w:p>
    <w:p w:rsidR="002A0D61" w:rsidRDefault="00BF2516">
      <w:r>
        <w:rPr>
          <w:rFonts w:ascii="Segoe UI Symbol" w:eastAsia="Segoe UI Symbol" w:hAnsi="Segoe UI Symbol" w:cs="Segoe UI Symbol"/>
        </w:rPr>
        <w:t>−</w:t>
      </w:r>
      <w:r>
        <w:t xml:space="preserve"> płyty pleksi bezbarwne i kolorowe,</w:t>
      </w:r>
    </w:p>
    <w:p w:rsidR="002A0D61" w:rsidRDefault="00BF2516">
      <w:r>
        <w:rPr>
          <w:rFonts w:ascii="Segoe UI Symbol" w:eastAsia="Segoe UI Symbol" w:hAnsi="Segoe UI Symbol" w:cs="Segoe UI Symbol"/>
        </w:rPr>
        <w:t>−</w:t>
      </w:r>
      <w:r>
        <w:t xml:space="preserve"> płyty poliwęglanowe bezbarwne i kolorowe.</w:t>
      </w:r>
    </w:p>
    <w:p w:rsidR="002A0D61" w:rsidRDefault="00BF2516">
      <w:pPr>
        <w:ind w:left="-15" w:firstLine="286"/>
      </w:pPr>
      <w:r>
        <w:t>Wszystkie materiały do pokryć dachowych powinny być przechowywane i magazynowane zgodnie z instrukcją producenta oraz według odpowiednich norm wyrobu.</w:t>
      </w:r>
    </w:p>
    <w:p w:rsidR="002A0D61" w:rsidRDefault="00BF2516">
      <w:pPr>
        <w:spacing w:after="531"/>
        <w:ind w:left="296"/>
      </w:pPr>
      <w:r>
        <w:t>Przyjęcie materiałów i wyrobów na budowę powinno być potwierdzane wpisem do dziennika budowy.</w:t>
      </w:r>
    </w:p>
    <w:p w:rsidR="002A0D61" w:rsidRDefault="00BF2516">
      <w:pPr>
        <w:pStyle w:val="Nagwek1"/>
      </w:pPr>
      <w:r>
        <w:rPr>
          <w:rFonts w:ascii="Times New Roman" w:eastAsia="Times New Roman" w:hAnsi="Times New Roman" w:cs="Times New Roman"/>
          <w:b w:val="0"/>
        </w:rPr>
        <w:t>3.</w:t>
      </w:r>
      <w:r>
        <w:rPr>
          <w:rFonts w:ascii="Times New Roman" w:eastAsia="Times New Roman" w:hAnsi="Times New Roman" w:cs="Times New Roman"/>
          <w:b w:val="0"/>
        </w:rPr>
        <w:tab/>
      </w:r>
      <w:r>
        <w:t>SPRZĘT</w:t>
      </w:r>
    </w:p>
    <w:p w:rsidR="002A0D61" w:rsidRDefault="00BF2516">
      <w:pPr>
        <w:spacing w:after="533"/>
        <w:ind w:left="405" w:right="-15" w:hanging="420"/>
        <w:jc w:val="left"/>
      </w:pPr>
      <w:r>
        <w:rPr>
          <w:rFonts w:ascii="Times New Roman" w:eastAsia="Times New Roman" w:hAnsi="Times New Roman" w:cs="Times New Roman"/>
        </w:rPr>
        <w:t xml:space="preserve">3.1. </w:t>
      </w:r>
      <w:r>
        <w:rPr>
          <w:b/>
        </w:rPr>
        <w:t xml:space="preserve">Ogólne wymagania dotyczące sprzętu podano w ST „Wymagania ogólne” </w:t>
      </w:r>
    </w:p>
    <w:p w:rsidR="002A0D61" w:rsidRDefault="00BF2516">
      <w:pPr>
        <w:spacing w:after="170"/>
        <w:ind w:right="-15"/>
        <w:jc w:val="left"/>
      </w:pPr>
      <w:r>
        <w:rPr>
          <w:rFonts w:ascii="Times New Roman" w:eastAsia="Times New Roman" w:hAnsi="Times New Roman" w:cs="Times New Roman"/>
        </w:rPr>
        <w:t xml:space="preserve">3.2. </w:t>
      </w:r>
      <w:r>
        <w:rPr>
          <w:b/>
        </w:rPr>
        <w:t>Sprzęt do wykonywania robót</w:t>
      </w:r>
    </w:p>
    <w:p w:rsidR="002A0D61" w:rsidRDefault="00BF2516">
      <w:r>
        <w:rPr>
          <w:rFonts w:ascii="Segoe UI Symbol" w:eastAsia="Segoe UI Symbol" w:hAnsi="Segoe UI Symbol" w:cs="Segoe UI Symbol"/>
        </w:rPr>
        <w:t>−</w:t>
      </w:r>
      <w:r>
        <w:t xml:space="preserve"> Roboty można wykonać ręcznie lub przy użyciu innych specjalistycznych narzędzi.</w:t>
      </w:r>
    </w:p>
    <w:p w:rsidR="002A0D61" w:rsidRDefault="00BF2516">
      <w:pPr>
        <w:spacing w:after="440"/>
        <w:ind w:left="271" w:hanging="286"/>
      </w:pPr>
      <w:r>
        <w:rPr>
          <w:rFonts w:ascii="Segoe UI Symbol" w:eastAsia="Segoe UI Symbol" w:hAnsi="Segoe UI Symbol" w:cs="Segoe UI Symbol"/>
        </w:rPr>
        <w:t>−</w:t>
      </w:r>
      <w:r>
        <w:t xml:space="preserve"> Wykonawca jest zobowiązany do używania takich narzędzi, które nie spowodują niekorzystnego wpływu na jakość materiałów i wykonywanych robót oraz będą przyjazne dla środowiska.</w:t>
      </w:r>
    </w:p>
    <w:p w:rsidR="002A0D61" w:rsidRDefault="00BF2516">
      <w:pPr>
        <w:pStyle w:val="Nagwek1"/>
      </w:pPr>
      <w:r>
        <w:rPr>
          <w:rFonts w:ascii="Times New Roman" w:eastAsia="Times New Roman" w:hAnsi="Times New Roman" w:cs="Times New Roman"/>
          <w:b w:val="0"/>
        </w:rPr>
        <w:t>4.</w:t>
      </w:r>
      <w:r>
        <w:rPr>
          <w:rFonts w:ascii="Times New Roman" w:eastAsia="Times New Roman" w:hAnsi="Times New Roman" w:cs="Times New Roman"/>
          <w:b w:val="0"/>
        </w:rPr>
        <w:tab/>
      </w:r>
      <w:r>
        <w:t>TRANSPORT</w:t>
      </w:r>
    </w:p>
    <w:p w:rsidR="002A0D61" w:rsidRDefault="00BF2516">
      <w:pPr>
        <w:spacing w:after="392"/>
        <w:ind w:left="405" w:right="-15" w:hanging="420"/>
        <w:jc w:val="left"/>
      </w:pPr>
      <w:r>
        <w:rPr>
          <w:rFonts w:ascii="Times New Roman" w:eastAsia="Times New Roman" w:hAnsi="Times New Roman" w:cs="Times New Roman"/>
        </w:rPr>
        <w:t xml:space="preserve">4.1. </w:t>
      </w:r>
      <w:r>
        <w:rPr>
          <w:b/>
        </w:rPr>
        <w:t xml:space="preserve">Ogólne wymagania dotyczące transportu podano w ST „Wymagania ogólne” </w:t>
      </w:r>
    </w:p>
    <w:p w:rsidR="002A0D61" w:rsidRDefault="00BF2516">
      <w:pPr>
        <w:spacing w:after="170"/>
        <w:ind w:right="-15"/>
        <w:jc w:val="left"/>
      </w:pPr>
      <w:r>
        <w:rPr>
          <w:rFonts w:ascii="Times New Roman" w:eastAsia="Times New Roman" w:hAnsi="Times New Roman" w:cs="Times New Roman"/>
        </w:rPr>
        <w:lastRenderedPageBreak/>
        <w:t xml:space="preserve">4.2. </w:t>
      </w:r>
      <w:r>
        <w:rPr>
          <w:b/>
        </w:rPr>
        <w:t>Transport materiałów:</w:t>
      </w:r>
    </w:p>
    <w:p w:rsidR="002A0D61" w:rsidRDefault="00BF2516">
      <w:pPr>
        <w:spacing w:after="0"/>
      </w:pPr>
      <w:r>
        <w:rPr>
          <w:rFonts w:ascii="Times New Roman" w:eastAsia="Times New Roman" w:hAnsi="Times New Roman" w:cs="Times New Roman"/>
        </w:rPr>
        <w:t xml:space="preserve">4.2.1. </w:t>
      </w:r>
      <w:r>
        <w:t>Do transportu materiałów i urządzeń stosować następujące sprawne technicznie środki transportu:</w:t>
      </w:r>
    </w:p>
    <w:p w:rsidR="002A0D61" w:rsidRDefault="00BF2516">
      <w:r>
        <w:rPr>
          <w:rFonts w:ascii="Segoe UI Symbol" w:eastAsia="Segoe UI Symbol" w:hAnsi="Segoe UI Symbol" w:cs="Segoe UI Symbol"/>
        </w:rPr>
        <w:t xml:space="preserve">− </w:t>
      </w:r>
      <w:r>
        <w:t xml:space="preserve">samochód skrzyniowy o ładowności </w:t>
      </w:r>
      <w:r>
        <w:rPr>
          <w:rFonts w:ascii="Arial" w:eastAsia="Arial" w:hAnsi="Arial" w:cs="Arial"/>
        </w:rPr>
        <w:t>5-10</w:t>
      </w:r>
      <w:r>
        <w:t xml:space="preserve"> ton,</w:t>
      </w:r>
    </w:p>
    <w:p w:rsidR="002A0D61" w:rsidRDefault="00BF2516">
      <w:r>
        <w:rPr>
          <w:rFonts w:ascii="Segoe UI Symbol" w:eastAsia="Segoe UI Symbol" w:hAnsi="Segoe UI Symbol" w:cs="Segoe UI Symbol"/>
        </w:rPr>
        <w:t>−</w:t>
      </w:r>
      <w:r>
        <w:t xml:space="preserve"> samochód dostawczy o ładowności </w:t>
      </w:r>
      <w:r>
        <w:rPr>
          <w:rFonts w:ascii="Arial" w:eastAsia="Arial" w:hAnsi="Arial" w:cs="Arial"/>
        </w:rPr>
        <w:t>0,9</w:t>
      </w:r>
      <w:r>
        <w:t xml:space="preserve"> ton,</w:t>
      </w:r>
    </w:p>
    <w:p w:rsidR="002A0D61" w:rsidRDefault="00BF2516">
      <w:r>
        <w:rPr>
          <w:rFonts w:ascii="Segoe UI Symbol" w:eastAsia="Segoe UI Symbol" w:hAnsi="Segoe UI Symbol" w:cs="Segoe UI Symbol"/>
        </w:rPr>
        <w:t>−</w:t>
      </w:r>
      <w:r>
        <w:t xml:space="preserve"> ciągnik kołowy z przyczepą.</w:t>
      </w:r>
    </w:p>
    <w:p w:rsidR="002A0D61" w:rsidRDefault="00BF2516">
      <w:r>
        <w:t>Blachy do pokryć dachowych mogą być przewożone dowolnymi środkami transportu.</w:t>
      </w:r>
    </w:p>
    <w:p w:rsidR="002A0D61" w:rsidRDefault="00BF2516">
      <w:r>
        <w:t>Materiały należy układać równomiernie na całej powierzchni ładunkowej, obok siebie i zabezpieczyć przed możliwością przesuwania się podczas transportu.</w:t>
      </w:r>
    </w:p>
    <w:p w:rsidR="002A0D61" w:rsidRDefault="00BF2516">
      <w:r>
        <w:t>Blachy powinny być układane w pozycji poziomej wzdłuż środka transportu.</w:t>
      </w:r>
    </w:p>
    <w:p w:rsidR="002A0D61" w:rsidRDefault="00BF2516">
      <w:r>
        <w:t xml:space="preserve">Jeżeli długość elementów z blachy dachówkowej jest większa niż długość pojazdu, wielkość nawisu nie może przekroczyć </w:t>
      </w:r>
      <w:r>
        <w:rPr>
          <w:rFonts w:ascii="Arial" w:eastAsia="Arial" w:hAnsi="Arial" w:cs="Arial"/>
        </w:rPr>
        <w:t>1</w:t>
      </w:r>
      <w:r>
        <w:t xml:space="preserve"> m.</w:t>
      </w:r>
    </w:p>
    <w:p w:rsidR="002A0D61" w:rsidRDefault="00BF2516">
      <w:r>
        <w:t>Przy za- i wyładunku oraz przewozie na środkach transportowych należy przestrzegać przepisów obowiązujących w transporcie drogowym.</w:t>
      </w:r>
    </w:p>
    <w:p w:rsidR="002A0D61" w:rsidRDefault="00BF2516">
      <w:pPr>
        <w:ind w:left="555" w:hanging="570"/>
      </w:pPr>
      <w:r>
        <w:rPr>
          <w:rFonts w:ascii="Times New Roman" w:eastAsia="Times New Roman" w:hAnsi="Times New Roman" w:cs="Times New Roman"/>
        </w:rPr>
        <w:t xml:space="preserve">4.2.2. </w:t>
      </w:r>
      <w:r>
        <w:t>Wykonawca jest zobowiązany do stosowania takich środków transportu, które wpłyną niekorzystnie na jakość robót i właściwości przewożonych materiałów.</w:t>
      </w:r>
    </w:p>
    <w:p w:rsidR="002A0D61" w:rsidRDefault="00BF2516">
      <w:pPr>
        <w:spacing w:after="442"/>
        <w:ind w:left="555" w:hanging="570"/>
      </w:pPr>
      <w:r>
        <w:rPr>
          <w:rFonts w:ascii="Times New Roman" w:eastAsia="Times New Roman" w:hAnsi="Times New Roman" w:cs="Times New Roman"/>
        </w:rPr>
        <w:t xml:space="preserve">4.2.3. </w:t>
      </w:r>
      <w:r>
        <w:t>Przy ruchu po drogach publicznych środki transportowe muszą spełniać wymagania przepisów ruchu drogowego.</w:t>
      </w:r>
    </w:p>
    <w:p w:rsidR="002A0D61" w:rsidRDefault="00BF2516">
      <w:pPr>
        <w:pStyle w:val="Nagwek1"/>
      </w:pPr>
      <w:r>
        <w:rPr>
          <w:rFonts w:ascii="Times New Roman" w:eastAsia="Times New Roman" w:hAnsi="Times New Roman" w:cs="Times New Roman"/>
          <w:b w:val="0"/>
        </w:rPr>
        <w:t>5.</w:t>
      </w:r>
      <w:r>
        <w:rPr>
          <w:rFonts w:ascii="Times New Roman" w:eastAsia="Times New Roman" w:hAnsi="Times New Roman" w:cs="Times New Roman"/>
          <w:b w:val="0"/>
        </w:rPr>
        <w:tab/>
      </w:r>
      <w:r>
        <w:t>WYKONANIE ROBÓT</w:t>
      </w:r>
    </w:p>
    <w:p w:rsidR="002A0D61" w:rsidRDefault="00BF2516">
      <w:pPr>
        <w:spacing w:after="170"/>
        <w:ind w:right="-15"/>
        <w:jc w:val="left"/>
      </w:pPr>
      <w:r>
        <w:rPr>
          <w:rFonts w:ascii="Times New Roman" w:eastAsia="Times New Roman" w:hAnsi="Times New Roman" w:cs="Times New Roman"/>
        </w:rPr>
        <w:t xml:space="preserve">5.1. </w:t>
      </w:r>
      <w:r>
        <w:rPr>
          <w:b/>
        </w:rPr>
        <w:t>Wymagania ogólne dla podkładów</w:t>
      </w:r>
    </w:p>
    <w:p w:rsidR="002A0D61" w:rsidRDefault="00BF2516">
      <w:r>
        <w:t>Każdy podkład pod pokrycie powinien spełniać następujące wymagania ogólne:</w:t>
      </w:r>
    </w:p>
    <w:p w:rsidR="002A0D61" w:rsidRDefault="00BF2516">
      <w:pPr>
        <w:ind w:left="271" w:hanging="286"/>
      </w:pPr>
      <w:r>
        <w:rPr>
          <w:rFonts w:ascii="Segoe UI Symbol" w:eastAsia="Segoe UI Symbol" w:hAnsi="Segoe UI Symbol" w:cs="Segoe UI Symbol"/>
        </w:rPr>
        <w:t xml:space="preserve">− </w:t>
      </w:r>
      <w:r>
        <w:t xml:space="preserve">pochylenie płaszczyzny połaci dachowych z desek, łat lub </w:t>
      </w:r>
      <w:proofErr w:type="spellStart"/>
      <w:r>
        <w:t>płatwi</w:t>
      </w:r>
      <w:proofErr w:type="spellEnd"/>
      <w:r>
        <w:t xml:space="preserve"> powinno być dostosowane do rodzaju pokrycia, zgodnie z wymaganiami PN-B-</w:t>
      </w:r>
      <w:r>
        <w:rPr>
          <w:rFonts w:ascii="Arial" w:eastAsia="Arial" w:hAnsi="Arial" w:cs="Arial"/>
        </w:rPr>
        <w:t>02361</w:t>
      </w:r>
      <w:r>
        <w:t>:</w:t>
      </w:r>
      <w:r>
        <w:rPr>
          <w:rFonts w:ascii="Arial" w:eastAsia="Arial" w:hAnsi="Arial" w:cs="Arial"/>
        </w:rPr>
        <w:t>1999</w:t>
      </w:r>
      <w:r>
        <w:t>,</w:t>
      </w:r>
    </w:p>
    <w:p w:rsidR="002A0D61" w:rsidRDefault="00BF2516">
      <w:pPr>
        <w:ind w:left="271" w:hanging="286"/>
      </w:pPr>
      <w:r>
        <w:rPr>
          <w:rFonts w:ascii="Segoe UI Symbol" w:eastAsia="Segoe UI Symbol" w:hAnsi="Segoe UI Symbol" w:cs="Segoe UI Symbol"/>
        </w:rPr>
        <w:t xml:space="preserve">− </w:t>
      </w:r>
      <w:r>
        <w:t xml:space="preserve">równość powierzchni deskowania powinna być taka, aby prześwit pomiędzy powierzchnią deskowania a łatą kontrolną o długości </w:t>
      </w:r>
      <w:r>
        <w:rPr>
          <w:rFonts w:ascii="Arial" w:eastAsia="Arial" w:hAnsi="Arial" w:cs="Arial"/>
        </w:rPr>
        <w:t>3</w:t>
      </w:r>
      <w:r>
        <w:t xml:space="preserve"> m był nie większy niż </w:t>
      </w:r>
      <w:r>
        <w:rPr>
          <w:rFonts w:ascii="Arial" w:eastAsia="Arial" w:hAnsi="Arial" w:cs="Arial"/>
        </w:rPr>
        <w:t>5</w:t>
      </w:r>
      <w:r>
        <w:t xml:space="preserve"> mm w kierunku prostopadłym do spadku i nie większy niż </w:t>
      </w:r>
      <w:r>
        <w:rPr>
          <w:rFonts w:ascii="Arial" w:eastAsia="Arial" w:hAnsi="Arial" w:cs="Arial"/>
        </w:rPr>
        <w:t>10</w:t>
      </w:r>
      <w:r>
        <w:t xml:space="preserve"> mm w kierunku równoległym do spadku (pochylenia połaci dachowej),</w:t>
      </w:r>
    </w:p>
    <w:p w:rsidR="002A0D61" w:rsidRDefault="00BF2516">
      <w:pPr>
        <w:ind w:left="271" w:hanging="286"/>
      </w:pPr>
      <w:r>
        <w:rPr>
          <w:rFonts w:ascii="Segoe UI Symbol" w:eastAsia="Segoe UI Symbol" w:hAnsi="Segoe UI Symbol" w:cs="Segoe UI Symbol"/>
        </w:rPr>
        <w:t xml:space="preserve">− </w:t>
      </w:r>
      <w:r>
        <w:t xml:space="preserve">równość płaszczyzny połaci z łat lub </w:t>
      </w:r>
      <w:proofErr w:type="spellStart"/>
      <w:r>
        <w:t>płatwi</w:t>
      </w:r>
      <w:proofErr w:type="spellEnd"/>
      <w:r>
        <w:t xml:space="preserve"> powinna być analogiczna, jak podano powyżej na co najmniej </w:t>
      </w:r>
      <w:r>
        <w:rPr>
          <w:rFonts w:ascii="Arial" w:eastAsia="Arial" w:hAnsi="Arial" w:cs="Arial"/>
        </w:rPr>
        <w:t xml:space="preserve">3 </w:t>
      </w:r>
      <w:r>
        <w:t xml:space="preserve">krokwiach (przy podkładzie z łat) lub </w:t>
      </w:r>
      <w:r>
        <w:rPr>
          <w:rFonts w:ascii="Arial" w:eastAsia="Arial" w:hAnsi="Arial" w:cs="Arial"/>
        </w:rPr>
        <w:t>3</w:t>
      </w:r>
      <w:r>
        <w:t xml:space="preserve"> </w:t>
      </w:r>
      <w:proofErr w:type="spellStart"/>
      <w:r>
        <w:t>płatwiach</w:t>
      </w:r>
      <w:proofErr w:type="spellEnd"/>
      <w:r>
        <w:t xml:space="preserve"> (przy podkładzie z </w:t>
      </w:r>
      <w:proofErr w:type="spellStart"/>
      <w:r>
        <w:t>płatwi</w:t>
      </w:r>
      <w:proofErr w:type="spellEnd"/>
      <w:r>
        <w:t>),</w:t>
      </w:r>
    </w:p>
    <w:p w:rsidR="002A0D61" w:rsidRDefault="00BF2516">
      <w:pPr>
        <w:ind w:left="271" w:hanging="286"/>
      </w:pPr>
      <w:r>
        <w:rPr>
          <w:rFonts w:ascii="Segoe UI Symbol" w:eastAsia="Segoe UI Symbol" w:hAnsi="Segoe UI Symbol" w:cs="Segoe UI Symbol"/>
        </w:rPr>
        <w:t xml:space="preserve">− </w:t>
      </w:r>
      <w:r>
        <w:t xml:space="preserve">podkład powinien być </w:t>
      </w:r>
      <w:proofErr w:type="spellStart"/>
      <w:r>
        <w:t>zdylatowany</w:t>
      </w:r>
      <w:proofErr w:type="spellEnd"/>
      <w:r>
        <w:t xml:space="preserve"> w miejscach dylatacji konstrukcyjnych oraz powinien mieć odpowiednie uformowanie w styku z elementami wystającymi ponad powierzchnię pokrycia. Szerokość szczelin dylatacyjnych powinna wynosić od </w:t>
      </w:r>
      <w:r>
        <w:rPr>
          <w:rFonts w:ascii="Arial" w:eastAsia="Arial" w:hAnsi="Arial" w:cs="Arial"/>
        </w:rPr>
        <w:t>20</w:t>
      </w:r>
      <w:r>
        <w:t xml:space="preserve"> do </w:t>
      </w:r>
      <w:r>
        <w:rPr>
          <w:rFonts w:ascii="Arial" w:eastAsia="Arial" w:hAnsi="Arial" w:cs="Arial"/>
        </w:rPr>
        <w:t>40</w:t>
      </w:r>
      <w:r>
        <w:t xml:space="preserve"> mm a szczelin obwodowych około </w:t>
      </w:r>
      <w:r>
        <w:rPr>
          <w:rFonts w:ascii="Arial" w:eastAsia="Arial" w:hAnsi="Arial" w:cs="Arial"/>
        </w:rPr>
        <w:t>20</w:t>
      </w:r>
      <w:r>
        <w:t xml:space="preserve"> mm. Szczeliny dylatacyjne termiczne i obwodowe powinny być wypełnione materiałem elastycznym lub kitem asfaltowym,</w:t>
      </w:r>
    </w:p>
    <w:p w:rsidR="002A0D61" w:rsidRDefault="00BF2516">
      <w:pPr>
        <w:spacing w:after="442"/>
        <w:ind w:left="271" w:hanging="286"/>
      </w:pPr>
      <w:r>
        <w:rPr>
          <w:rFonts w:ascii="Segoe UI Symbol" w:eastAsia="Segoe UI Symbol" w:hAnsi="Segoe UI Symbol" w:cs="Segoe UI Symbol"/>
        </w:rPr>
        <w:t xml:space="preserve">− </w:t>
      </w:r>
      <w:r>
        <w:t>w podkładzie powinny być osadzone uchwyty do zawieszenia rynny dachowej oraz powinny być usztywnione krawędzie zewnętrzne.</w:t>
      </w:r>
    </w:p>
    <w:p w:rsidR="002A0D61" w:rsidRDefault="00BF2516">
      <w:pPr>
        <w:spacing w:after="170"/>
        <w:ind w:right="-15"/>
        <w:jc w:val="left"/>
      </w:pPr>
      <w:r>
        <w:rPr>
          <w:rFonts w:ascii="Times New Roman" w:eastAsia="Times New Roman" w:hAnsi="Times New Roman" w:cs="Times New Roman"/>
        </w:rPr>
        <w:t xml:space="preserve">5.2. </w:t>
      </w:r>
      <w:r>
        <w:rPr>
          <w:b/>
        </w:rPr>
        <w:t>Podkłady z desek i papy pod pokrycie z blachy</w:t>
      </w:r>
    </w:p>
    <w:p w:rsidR="002A0D61" w:rsidRDefault="00BF2516">
      <w:r>
        <w:t>Każdy podkład z desek i papy pod pokrycie z blachy powinien spełniać następujące wymagania:</w:t>
      </w:r>
    </w:p>
    <w:p w:rsidR="002A0D61" w:rsidRDefault="00BF2516">
      <w:pPr>
        <w:ind w:left="271" w:hanging="286"/>
      </w:pPr>
      <w:r>
        <w:rPr>
          <w:rFonts w:ascii="Segoe UI Symbol" w:eastAsia="Segoe UI Symbol" w:hAnsi="Segoe UI Symbol" w:cs="Segoe UI Symbol"/>
        </w:rPr>
        <w:t xml:space="preserve">− </w:t>
      </w:r>
      <w:r>
        <w:t xml:space="preserve">w przypadku pokryć z blachy podkład z desek i jednej warstwy papy powinien być zgodny z wymaganiami podanymi w pkt. </w:t>
      </w:r>
      <w:r>
        <w:rPr>
          <w:rFonts w:ascii="Arial" w:eastAsia="Arial" w:hAnsi="Arial" w:cs="Arial"/>
        </w:rPr>
        <w:t>5</w:t>
      </w:r>
      <w:r>
        <w:t>.</w:t>
      </w:r>
      <w:r>
        <w:rPr>
          <w:rFonts w:ascii="Arial" w:eastAsia="Arial" w:hAnsi="Arial" w:cs="Arial"/>
        </w:rPr>
        <w:t>1</w:t>
      </w:r>
      <w:r>
        <w:t>.,</w:t>
      </w:r>
    </w:p>
    <w:p w:rsidR="002A0D61" w:rsidRDefault="00BF2516">
      <w:pPr>
        <w:ind w:left="271" w:hanging="286"/>
      </w:pPr>
      <w:r>
        <w:rPr>
          <w:rFonts w:ascii="Segoe UI Symbol" w:eastAsia="Segoe UI Symbol" w:hAnsi="Segoe UI Symbol" w:cs="Segoe UI Symbol"/>
        </w:rPr>
        <w:t xml:space="preserve">− </w:t>
      </w:r>
      <w:r>
        <w:t xml:space="preserve">deski powinny być zabezpieczane pod zagrzybieniem (impregnowane) i ułożone stroną dordzeniową ku górze. Każda deska powinna być przybita do krokwi dwoma gwoździami. Wilgotność desek nie powinna być większa do  </w:t>
      </w:r>
      <w:r>
        <w:rPr>
          <w:rFonts w:ascii="Arial" w:eastAsia="Arial" w:hAnsi="Arial" w:cs="Arial"/>
        </w:rPr>
        <w:t>21%</w:t>
      </w:r>
      <w:r>
        <w:t xml:space="preserve">, a </w:t>
      </w:r>
      <w:r>
        <w:lastRenderedPageBreak/>
        <w:t xml:space="preserve">maksymalna szerokość </w:t>
      </w:r>
      <w:r>
        <w:rPr>
          <w:rFonts w:ascii="Arial" w:eastAsia="Arial" w:hAnsi="Arial" w:cs="Arial"/>
        </w:rPr>
        <w:t>15</w:t>
      </w:r>
      <w:r>
        <w:t xml:space="preserve"> cm. Czoła desek powinny stykać się na krokwiach. Deski należy układać „na pióro” i „wpust” lub na przylgę. Szczeliny między deskami nie powinny być większe niż </w:t>
      </w:r>
      <w:r>
        <w:rPr>
          <w:rFonts w:ascii="Arial" w:eastAsia="Arial" w:hAnsi="Arial" w:cs="Arial"/>
        </w:rPr>
        <w:t>2</w:t>
      </w:r>
      <w:r>
        <w:t xml:space="preserve"> mm. Nie dopuszcza się w deskach otworów po sękach o średnicy większej jak </w:t>
      </w:r>
      <w:r>
        <w:rPr>
          <w:rFonts w:ascii="Arial" w:eastAsia="Arial" w:hAnsi="Arial" w:cs="Arial"/>
        </w:rPr>
        <w:t>20</w:t>
      </w:r>
      <w:r>
        <w:t xml:space="preserve"> mm. Deski okapowe powinny wystawać poza czoło krokwi od </w:t>
      </w:r>
      <w:r>
        <w:rPr>
          <w:rFonts w:ascii="Arial" w:eastAsia="Arial" w:hAnsi="Arial" w:cs="Arial"/>
        </w:rPr>
        <w:t>3</w:t>
      </w:r>
      <w:r>
        <w:t xml:space="preserve"> do </w:t>
      </w:r>
      <w:r>
        <w:rPr>
          <w:rFonts w:ascii="Arial" w:eastAsia="Arial" w:hAnsi="Arial" w:cs="Arial"/>
        </w:rPr>
        <w:t>5</w:t>
      </w:r>
      <w:r>
        <w:t xml:space="preserve"> cm.</w:t>
      </w:r>
    </w:p>
    <w:p w:rsidR="002A0D61" w:rsidRDefault="00BF2516">
      <w:pPr>
        <w:spacing w:after="0"/>
      </w:pPr>
      <w:r>
        <w:rPr>
          <w:rFonts w:ascii="Segoe UI Symbol" w:eastAsia="Segoe UI Symbol" w:hAnsi="Segoe UI Symbol" w:cs="Segoe UI Symbol"/>
        </w:rPr>
        <w:t>−</w:t>
      </w:r>
      <w:r>
        <w:rPr>
          <w:rFonts w:ascii="Segoe UI Symbol" w:eastAsia="Segoe UI Symbol" w:hAnsi="Segoe UI Symbol" w:cs="Segoe UI Symbol"/>
        </w:rPr>
        <w:tab/>
      </w:r>
      <w:r>
        <w:t>papa asfaltowa podkładowa lub wierzchniego krycia powinna być umocowana do podkładu gwoździami,</w:t>
      </w:r>
    </w:p>
    <w:p w:rsidR="002A0D61" w:rsidRDefault="00BF2516">
      <w:pPr>
        <w:spacing w:after="441"/>
        <w:ind w:left="271" w:hanging="286"/>
      </w:pPr>
      <w:r>
        <w:rPr>
          <w:rFonts w:ascii="Segoe UI Symbol" w:eastAsia="Segoe UI Symbol" w:hAnsi="Segoe UI Symbol" w:cs="Segoe UI Symbol"/>
        </w:rPr>
        <w:t xml:space="preserve">− </w:t>
      </w:r>
      <w:r>
        <w:t>podkład z papy, o którym mowa powyżej, należy wykonywać obowiązkowo w przypadku pokryć z blachy wykonanych w korytach odwadniających lub koszach dachowych oraz przy okapie. Na pozostałych fragmentach połaci dachowych stosowanie papy nie jest obowiązkowe.</w:t>
      </w:r>
    </w:p>
    <w:p w:rsidR="002A0D61" w:rsidRDefault="00BF2516">
      <w:pPr>
        <w:spacing w:after="170"/>
        <w:ind w:right="-15"/>
        <w:jc w:val="left"/>
      </w:pPr>
      <w:r>
        <w:rPr>
          <w:rFonts w:ascii="Times New Roman" w:eastAsia="Times New Roman" w:hAnsi="Times New Roman" w:cs="Times New Roman"/>
        </w:rPr>
        <w:t xml:space="preserve">5.3. </w:t>
      </w:r>
      <w:r>
        <w:rPr>
          <w:b/>
        </w:rPr>
        <w:t>Podkład z desek pod pokrycie blachą</w:t>
      </w:r>
    </w:p>
    <w:p w:rsidR="002A0D61" w:rsidRDefault="00BF2516">
      <w:r>
        <w:t>Podkład z desek pod pokrycie blachą powinien spełniać następujące wymagania:</w:t>
      </w:r>
    </w:p>
    <w:p w:rsidR="002A0D61" w:rsidRDefault="00BF2516">
      <w:pPr>
        <w:ind w:left="271" w:hanging="286"/>
      </w:pPr>
      <w:r>
        <w:rPr>
          <w:rFonts w:ascii="Segoe UI Symbol" w:eastAsia="Segoe UI Symbol" w:hAnsi="Segoe UI Symbol" w:cs="Segoe UI Symbol"/>
        </w:rPr>
        <w:t xml:space="preserve">− </w:t>
      </w:r>
      <w:r>
        <w:t xml:space="preserve">podkład z drewna pod pokrycie blachą ocynkowaną lub cynkową powinien być wykonany z desek obrzynanych grubości </w:t>
      </w:r>
      <w:r>
        <w:rPr>
          <w:rFonts w:ascii="Arial" w:eastAsia="Arial" w:hAnsi="Arial" w:cs="Arial"/>
        </w:rPr>
        <w:t>25</w:t>
      </w:r>
      <w:r>
        <w:t xml:space="preserve"> mm i szerokości od </w:t>
      </w:r>
      <w:r>
        <w:rPr>
          <w:rFonts w:ascii="Arial" w:eastAsia="Arial" w:hAnsi="Arial" w:cs="Arial"/>
        </w:rPr>
        <w:t>12</w:t>
      </w:r>
      <w:r>
        <w:t xml:space="preserve"> cm do </w:t>
      </w:r>
      <w:r>
        <w:rPr>
          <w:rFonts w:ascii="Arial" w:eastAsia="Arial" w:hAnsi="Arial" w:cs="Arial"/>
        </w:rPr>
        <w:t>15</w:t>
      </w:r>
      <w:r>
        <w:t xml:space="preserve"> cm. Szerokość deski okapowej powinna być większa i wynosić nie mniej niż </w:t>
      </w:r>
      <w:r>
        <w:rPr>
          <w:rFonts w:ascii="Arial" w:eastAsia="Arial" w:hAnsi="Arial" w:cs="Arial"/>
        </w:rPr>
        <w:t>30</w:t>
      </w:r>
      <w:r>
        <w:t xml:space="preserve"> cm,</w:t>
      </w:r>
    </w:p>
    <w:p w:rsidR="002A0D61" w:rsidRDefault="00BF2516">
      <w:pPr>
        <w:ind w:left="271" w:hanging="286"/>
      </w:pPr>
      <w:r>
        <w:rPr>
          <w:rFonts w:ascii="Segoe UI Symbol" w:eastAsia="Segoe UI Symbol" w:hAnsi="Segoe UI Symbol" w:cs="Segoe UI Symbol"/>
        </w:rPr>
        <w:t xml:space="preserve">− </w:t>
      </w:r>
      <w:r>
        <w:t xml:space="preserve">odstępy pomiędzy deskami powinny wynosić nie więcej niż </w:t>
      </w:r>
      <w:r>
        <w:rPr>
          <w:rFonts w:ascii="Arial" w:eastAsia="Arial" w:hAnsi="Arial" w:cs="Arial"/>
        </w:rPr>
        <w:t>5</w:t>
      </w:r>
      <w:r>
        <w:t xml:space="preserve"> cm przy kryciu blachą ocynkowaną i nie więcej niż </w:t>
      </w:r>
      <w:r>
        <w:rPr>
          <w:rFonts w:ascii="Arial" w:eastAsia="Arial" w:hAnsi="Arial" w:cs="Arial"/>
        </w:rPr>
        <w:t>4</w:t>
      </w:r>
      <w:r>
        <w:t xml:space="preserve"> cm przy kryciu blachą cynkową,</w:t>
      </w:r>
    </w:p>
    <w:p w:rsidR="002A0D61" w:rsidRDefault="00BF2516">
      <w:pPr>
        <w:ind w:left="271" w:hanging="286"/>
      </w:pPr>
      <w:r>
        <w:rPr>
          <w:rFonts w:ascii="Segoe UI Symbol" w:eastAsia="Segoe UI Symbol" w:hAnsi="Segoe UI Symbol" w:cs="Segoe UI Symbol"/>
        </w:rPr>
        <w:t xml:space="preserve">− </w:t>
      </w:r>
      <w:r>
        <w:t xml:space="preserve">podkład pod pokrycie z blachy miedzianej powinien być wykonany z desek, jak w pkt. </w:t>
      </w:r>
      <w:r>
        <w:rPr>
          <w:rFonts w:ascii="Arial" w:eastAsia="Arial" w:hAnsi="Arial" w:cs="Arial"/>
        </w:rPr>
        <w:t>5.1</w:t>
      </w:r>
      <w:r>
        <w:t>, łączonych na wpust lub przylgę. W uzasadnionych przypadkach, przy odpowiedniej sztywności podkładu dopuszcza się układanie desek na styk,</w:t>
      </w:r>
    </w:p>
    <w:p w:rsidR="002A0D61" w:rsidRDefault="00BF2516">
      <w:pPr>
        <w:ind w:left="271" w:hanging="286"/>
      </w:pPr>
      <w:r>
        <w:rPr>
          <w:rFonts w:ascii="Segoe UI Symbol" w:eastAsia="Segoe UI Symbol" w:hAnsi="Segoe UI Symbol" w:cs="Segoe UI Symbol"/>
        </w:rPr>
        <w:t xml:space="preserve">− </w:t>
      </w:r>
      <w:r>
        <w:t>gwoździe powinny być głęboko wbite w deski, aby ich łebki nie stykały się z blachą. Przy kryciu blachą cynkową lub ocynkowaną zaleca się stosować do przybijania desek gwoździe ocynkowane, a przy kryciu blachą miedzianą – gwoździe miedziane,</w:t>
      </w:r>
    </w:p>
    <w:p w:rsidR="002A0D61" w:rsidRDefault="00BF2516">
      <w:pPr>
        <w:ind w:left="271" w:hanging="286"/>
      </w:pPr>
      <w:r>
        <w:rPr>
          <w:rFonts w:ascii="Segoe UI Symbol" w:eastAsia="Segoe UI Symbol" w:hAnsi="Segoe UI Symbol" w:cs="Segoe UI Symbol"/>
        </w:rPr>
        <w:t xml:space="preserve">− </w:t>
      </w:r>
      <w:r>
        <w:t>w korytach dachowych, koszach, okapach o szerokości ~</w:t>
      </w:r>
      <w:r>
        <w:rPr>
          <w:rFonts w:ascii="Arial" w:eastAsia="Arial" w:hAnsi="Arial" w:cs="Arial"/>
        </w:rPr>
        <w:t>30</w:t>
      </w:r>
      <w:r>
        <w:t xml:space="preserve"> cm, przy oknach, wokół kominów itp. podkład powinien być pełny, z desek układanych na styk,</w:t>
      </w:r>
    </w:p>
    <w:p w:rsidR="002A0D61" w:rsidRDefault="00BF2516">
      <w:pPr>
        <w:spacing w:after="393"/>
      </w:pPr>
      <w:r>
        <w:rPr>
          <w:rFonts w:ascii="Segoe UI Symbol" w:eastAsia="Segoe UI Symbol" w:hAnsi="Segoe UI Symbol" w:cs="Segoe UI Symbol"/>
        </w:rPr>
        <w:t>−</w:t>
      </w:r>
      <w:r>
        <w:rPr>
          <w:rFonts w:ascii="Segoe UI Symbol" w:eastAsia="Segoe UI Symbol" w:hAnsi="Segoe UI Symbol" w:cs="Segoe UI Symbol"/>
        </w:rPr>
        <w:tab/>
      </w:r>
      <w:r>
        <w:t xml:space="preserve">podkład powinien spełniać wymagania podane w pkt. </w:t>
      </w:r>
      <w:r>
        <w:rPr>
          <w:rFonts w:ascii="Arial" w:eastAsia="Arial" w:hAnsi="Arial" w:cs="Arial"/>
        </w:rPr>
        <w:t>5</w:t>
      </w:r>
      <w:r>
        <w:t>.</w:t>
      </w:r>
      <w:r>
        <w:rPr>
          <w:rFonts w:ascii="Arial" w:eastAsia="Arial" w:hAnsi="Arial" w:cs="Arial"/>
        </w:rPr>
        <w:t>1</w:t>
      </w:r>
      <w:r>
        <w:t>.</w:t>
      </w:r>
    </w:p>
    <w:p w:rsidR="002A0D61" w:rsidRDefault="00BF2516">
      <w:pPr>
        <w:spacing w:after="170"/>
        <w:ind w:right="-15"/>
        <w:jc w:val="left"/>
      </w:pPr>
      <w:r>
        <w:rPr>
          <w:rFonts w:ascii="Times New Roman" w:eastAsia="Times New Roman" w:hAnsi="Times New Roman" w:cs="Times New Roman"/>
        </w:rPr>
        <w:t xml:space="preserve">5.4. </w:t>
      </w:r>
      <w:r>
        <w:rPr>
          <w:b/>
        </w:rPr>
        <w:t>Podkład z łat pod pokrycie z blach dachówkowych</w:t>
      </w:r>
    </w:p>
    <w:p w:rsidR="002A0D61" w:rsidRDefault="00BF2516">
      <w:r>
        <w:t>W przypadku podkładu z łat pod pokrycia z blach dachówkowych należy przestrzegać następujące zaleceń:</w:t>
      </w:r>
    </w:p>
    <w:p w:rsidR="002A0D61" w:rsidRDefault="00BF2516">
      <w:r>
        <w:rPr>
          <w:rFonts w:ascii="Segoe UI Symbol" w:eastAsia="Segoe UI Symbol" w:hAnsi="Segoe UI Symbol" w:cs="Segoe UI Symbol"/>
        </w:rPr>
        <w:t>−</w:t>
      </w:r>
      <w:r>
        <w:rPr>
          <w:rFonts w:ascii="Segoe UI Symbol" w:eastAsia="Segoe UI Symbol" w:hAnsi="Segoe UI Symbol" w:cs="Segoe UI Symbol"/>
        </w:rPr>
        <w:tab/>
      </w:r>
      <w:r>
        <w:t xml:space="preserve">łaty należy przybijać na </w:t>
      </w:r>
      <w:proofErr w:type="spellStart"/>
      <w:r>
        <w:t>kontrłatach</w:t>
      </w:r>
      <w:proofErr w:type="spellEnd"/>
      <w:r>
        <w:t>, równolegle do linii okapu, za pomocą gwoździ ocynkowanych,</w:t>
      </w:r>
    </w:p>
    <w:p w:rsidR="002A0D61" w:rsidRDefault="00BF2516">
      <w:pPr>
        <w:spacing w:after="443"/>
        <w:ind w:left="271" w:hanging="286"/>
      </w:pPr>
      <w:r>
        <w:rPr>
          <w:rFonts w:ascii="Segoe UI Symbol" w:eastAsia="Segoe UI Symbol" w:hAnsi="Segoe UI Symbol" w:cs="Segoe UI Symbol"/>
        </w:rPr>
        <w:t>−</w:t>
      </w:r>
      <w:r>
        <w:rPr>
          <w:rFonts w:ascii="Segoe UI Symbol" w:eastAsia="Segoe UI Symbol" w:hAnsi="Segoe UI Symbol" w:cs="Segoe UI Symbol"/>
        </w:rPr>
        <w:tab/>
      </w:r>
      <w:r>
        <w:t>pierwszą łatę umieszcza się w linii okapu, pozostałe równolegle do niej, z rozstawem odpowiadającym wymiarowi pojedynczego profilu dachówki.</w:t>
      </w:r>
    </w:p>
    <w:p w:rsidR="002A0D61" w:rsidRDefault="00BF2516">
      <w:pPr>
        <w:spacing w:after="170"/>
        <w:ind w:right="-15"/>
        <w:jc w:val="left"/>
      </w:pPr>
      <w:r>
        <w:rPr>
          <w:rFonts w:ascii="Times New Roman" w:eastAsia="Times New Roman" w:hAnsi="Times New Roman" w:cs="Times New Roman"/>
        </w:rPr>
        <w:t xml:space="preserve">5.5. </w:t>
      </w:r>
      <w:r>
        <w:rPr>
          <w:b/>
        </w:rPr>
        <w:t>Podkład z łat pod pokrycie z płyt falistych z tworzyw sztucznych</w:t>
      </w:r>
    </w:p>
    <w:p w:rsidR="002A0D61" w:rsidRDefault="00BF2516">
      <w:r>
        <w:t>Podkład z łat pod pokrycie z płyt falistych z tworzyw sztucznych powinien spełniać następujących wymagania:</w:t>
      </w:r>
    </w:p>
    <w:p w:rsidR="002A0D61" w:rsidRDefault="00BF2516">
      <w:pPr>
        <w:numPr>
          <w:ilvl w:val="0"/>
          <w:numId w:val="6"/>
        </w:numPr>
        <w:ind w:hanging="360"/>
      </w:pPr>
      <w:r>
        <w:t xml:space="preserve">podkład z łat może być wykonany tylko przy rozstawie krokwi do </w:t>
      </w:r>
      <w:r>
        <w:rPr>
          <w:rFonts w:ascii="Arial" w:eastAsia="Arial" w:hAnsi="Arial" w:cs="Arial"/>
        </w:rPr>
        <w:t>1</w:t>
      </w:r>
      <w:r>
        <w:t xml:space="preserve"> m,</w:t>
      </w:r>
    </w:p>
    <w:p w:rsidR="002A0D61" w:rsidRDefault="00BF2516">
      <w:pPr>
        <w:numPr>
          <w:ilvl w:val="0"/>
          <w:numId w:val="6"/>
        </w:numPr>
        <w:ind w:hanging="360"/>
      </w:pPr>
      <w:r>
        <w:t>przekrój łat powinien wynosić co najmniej (</w:t>
      </w:r>
      <w:r>
        <w:rPr>
          <w:rFonts w:ascii="Arial" w:eastAsia="Arial" w:hAnsi="Arial" w:cs="Arial"/>
        </w:rPr>
        <w:t>50</w:t>
      </w:r>
      <w:r>
        <w:t>x</w:t>
      </w:r>
      <w:r>
        <w:rPr>
          <w:rFonts w:ascii="Arial" w:eastAsia="Arial" w:hAnsi="Arial" w:cs="Arial"/>
        </w:rPr>
        <w:t>50</w:t>
      </w:r>
      <w:r>
        <w:t>) mm lub (</w:t>
      </w:r>
      <w:r>
        <w:rPr>
          <w:rFonts w:ascii="Arial" w:eastAsia="Arial" w:hAnsi="Arial" w:cs="Arial"/>
        </w:rPr>
        <w:t>50</w:t>
      </w:r>
      <w:r>
        <w:t>x</w:t>
      </w:r>
      <w:r>
        <w:rPr>
          <w:rFonts w:ascii="Arial" w:eastAsia="Arial" w:hAnsi="Arial" w:cs="Arial"/>
        </w:rPr>
        <w:t>60</w:t>
      </w:r>
      <w:r>
        <w:t>)  mm,</w:t>
      </w:r>
    </w:p>
    <w:p w:rsidR="002A0D61" w:rsidRDefault="00BF2516">
      <w:pPr>
        <w:numPr>
          <w:ilvl w:val="0"/>
          <w:numId w:val="6"/>
        </w:numPr>
        <w:ind w:hanging="360"/>
      </w:pPr>
      <w:r>
        <w:t xml:space="preserve">rozstaw łat powinien wynosić </w:t>
      </w:r>
      <w:r>
        <w:rPr>
          <w:rFonts w:ascii="Arial" w:eastAsia="Arial" w:hAnsi="Arial" w:cs="Arial"/>
        </w:rPr>
        <w:t>0,4</w:t>
      </w:r>
      <w:r>
        <w:t xml:space="preserve"> długości płyty, lecz nie więcej niż </w:t>
      </w:r>
      <w:r>
        <w:rPr>
          <w:rFonts w:ascii="Arial" w:eastAsia="Arial" w:hAnsi="Arial" w:cs="Arial"/>
        </w:rPr>
        <w:t>55</w:t>
      </w:r>
      <w:r>
        <w:t xml:space="preserve"> cm,</w:t>
      </w:r>
    </w:p>
    <w:p w:rsidR="002A0D61" w:rsidRDefault="00BF2516">
      <w:pPr>
        <w:numPr>
          <w:ilvl w:val="0"/>
          <w:numId w:val="6"/>
        </w:numPr>
        <w:ind w:hanging="360"/>
      </w:pPr>
      <w:r>
        <w:t xml:space="preserve">przy kryciu kalenicy gąsiorami korytkowymi odległość pierwszej łaty od kalenicy powinna wynosić </w:t>
      </w:r>
      <w:r>
        <w:rPr>
          <w:rFonts w:ascii="Arial" w:eastAsia="Arial" w:hAnsi="Arial" w:cs="Arial"/>
        </w:rPr>
        <w:t>5</w:t>
      </w:r>
      <w:r>
        <w:t xml:space="preserve"> cm; wzdłuż kalenicy powinna być przybita deska stanowiąca łatę do mocowania gąsiorów. Wysokość deski kalenicowej powinna być dostosowana do rozwartości gąsiora i pochylenia połaci dachowych,</w:t>
      </w:r>
    </w:p>
    <w:p w:rsidR="002A0D61" w:rsidRDefault="00BF2516">
      <w:pPr>
        <w:numPr>
          <w:ilvl w:val="0"/>
          <w:numId w:val="6"/>
        </w:numPr>
        <w:ind w:hanging="360"/>
      </w:pPr>
      <w:r>
        <w:t>przy kryciu kalenicy gąsiorami zawiasowymi odległość łaty od kalenicy powinna wynosić:</w:t>
      </w:r>
    </w:p>
    <w:p w:rsidR="002A0D61" w:rsidRDefault="00BF2516">
      <w:pPr>
        <w:numPr>
          <w:ilvl w:val="2"/>
          <w:numId w:val="7"/>
        </w:numPr>
        <w:ind w:hanging="360"/>
      </w:pPr>
      <w:r>
        <w:rPr>
          <w:rFonts w:ascii="Arial" w:eastAsia="Arial" w:hAnsi="Arial" w:cs="Arial"/>
        </w:rPr>
        <w:lastRenderedPageBreak/>
        <w:t>15</w:t>
      </w:r>
      <w:r>
        <w:t xml:space="preserve"> cm przy zakładach płyt poprzecznych wynoszących </w:t>
      </w:r>
      <w:r>
        <w:rPr>
          <w:rFonts w:ascii="Arial" w:eastAsia="Arial" w:hAnsi="Arial" w:cs="Arial"/>
        </w:rPr>
        <w:t>20</w:t>
      </w:r>
      <w:r>
        <w:t xml:space="preserve"> cm,</w:t>
      </w:r>
    </w:p>
    <w:p w:rsidR="002A0D61" w:rsidRDefault="00BF2516">
      <w:pPr>
        <w:numPr>
          <w:ilvl w:val="2"/>
          <w:numId w:val="7"/>
        </w:numPr>
        <w:ind w:hanging="360"/>
      </w:pPr>
      <w:r>
        <w:rPr>
          <w:rFonts w:ascii="Arial" w:eastAsia="Arial" w:hAnsi="Arial" w:cs="Arial"/>
        </w:rPr>
        <w:t xml:space="preserve">20 </w:t>
      </w:r>
      <w:r>
        <w:t xml:space="preserve">cm przy zakładach płyt poprzecznych wynoszących </w:t>
      </w:r>
      <w:r>
        <w:rPr>
          <w:rFonts w:ascii="Arial" w:eastAsia="Arial" w:hAnsi="Arial" w:cs="Arial"/>
        </w:rPr>
        <w:t>15</w:t>
      </w:r>
      <w:r>
        <w:t xml:space="preserve"> cm.</w:t>
      </w:r>
    </w:p>
    <w:p w:rsidR="002A0D61" w:rsidRDefault="00BF2516">
      <w:pPr>
        <w:numPr>
          <w:ilvl w:val="0"/>
          <w:numId w:val="6"/>
        </w:numPr>
        <w:ind w:hanging="360"/>
      </w:pPr>
      <w:r>
        <w:t>wzdłuż okapu powinna być przybita deska o grubości równej grubości łat,</w:t>
      </w:r>
    </w:p>
    <w:p w:rsidR="002A0D61" w:rsidRDefault="00BF2516">
      <w:pPr>
        <w:numPr>
          <w:ilvl w:val="0"/>
          <w:numId w:val="6"/>
        </w:numPr>
        <w:spacing w:after="0" w:line="373" w:lineRule="auto"/>
        <w:ind w:hanging="360"/>
      </w:pPr>
      <w:r>
        <w:t xml:space="preserve">łaty i deski powinny być zabezpieczone przed zagrzybieniem, </w:t>
      </w:r>
      <w:r>
        <w:rPr>
          <w:rFonts w:ascii="Times New Roman" w:eastAsia="Times New Roman" w:hAnsi="Times New Roman" w:cs="Times New Roman"/>
        </w:rPr>
        <w:t>–</w:t>
      </w:r>
      <w:r>
        <w:rPr>
          <w:rFonts w:ascii="Times New Roman" w:eastAsia="Times New Roman" w:hAnsi="Times New Roman" w:cs="Times New Roman"/>
        </w:rPr>
        <w:tab/>
      </w:r>
      <w:r>
        <w:t xml:space="preserve">podkład z łat powinien spełniać wymagania podane w pkt. </w:t>
      </w:r>
      <w:r>
        <w:rPr>
          <w:rFonts w:ascii="Arial" w:eastAsia="Arial" w:hAnsi="Arial" w:cs="Arial"/>
        </w:rPr>
        <w:t>5.1</w:t>
      </w:r>
      <w:r>
        <w:t>.</w:t>
      </w:r>
    </w:p>
    <w:p w:rsidR="002A0D61" w:rsidRDefault="00BF2516">
      <w:pPr>
        <w:spacing w:after="170"/>
        <w:ind w:right="-15"/>
        <w:jc w:val="left"/>
      </w:pPr>
      <w:r>
        <w:rPr>
          <w:rFonts w:ascii="Times New Roman" w:eastAsia="Times New Roman" w:hAnsi="Times New Roman" w:cs="Times New Roman"/>
        </w:rPr>
        <w:t xml:space="preserve">5.6. </w:t>
      </w:r>
      <w:r>
        <w:rPr>
          <w:b/>
        </w:rPr>
        <w:t xml:space="preserve">Podkład z </w:t>
      </w:r>
      <w:proofErr w:type="spellStart"/>
      <w:r>
        <w:rPr>
          <w:b/>
        </w:rPr>
        <w:t>płatwi</w:t>
      </w:r>
      <w:proofErr w:type="spellEnd"/>
      <w:r>
        <w:rPr>
          <w:b/>
        </w:rPr>
        <w:t xml:space="preserve"> pod pokrycia z płyt falistych z tworzyw sztucznych</w:t>
      </w:r>
    </w:p>
    <w:p w:rsidR="002A0D61" w:rsidRDefault="00BF2516">
      <w:r>
        <w:t xml:space="preserve">W przypadku podkładu z </w:t>
      </w:r>
      <w:proofErr w:type="spellStart"/>
      <w:r>
        <w:t>płatwi</w:t>
      </w:r>
      <w:proofErr w:type="spellEnd"/>
      <w:r>
        <w:t xml:space="preserve"> pod pokrycie z płyt falistych z tworzyw sztucznych należy przestrzegać następujących wymagań:</w:t>
      </w:r>
    </w:p>
    <w:p w:rsidR="002A0D61" w:rsidRDefault="00BF2516">
      <w:pPr>
        <w:numPr>
          <w:ilvl w:val="0"/>
          <w:numId w:val="8"/>
        </w:numPr>
        <w:ind w:hanging="360"/>
      </w:pPr>
      <w:r>
        <w:t xml:space="preserve">przekrój i rozstaw </w:t>
      </w:r>
      <w:proofErr w:type="spellStart"/>
      <w:r>
        <w:t>płatwi</w:t>
      </w:r>
      <w:proofErr w:type="spellEnd"/>
      <w:r>
        <w:t xml:space="preserve"> powinien być ustalony na podstawie obliczeń statycznych i dostosowany do rodzaju płyt, ich długości i szerokości zakładów poprzecznych, w zależności od pochylenia połaci dachowych,</w:t>
      </w:r>
    </w:p>
    <w:p w:rsidR="002A0D61" w:rsidRDefault="00BF2516">
      <w:pPr>
        <w:numPr>
          <w:ilvl w:val="0"/>
          <w:numId w:val="8"/>
        </w:numPr>
        <w:ind w:hanging="360"/>
      </w:pPr>
      <w:r>
        <w:t xml:space="preserve">płatwie powinny być usytuowane równolegle do okapu i przymocowane do wiązarów lub dźwigarów dachowych. Górne półki (powierzchnie) </w:t>
      </w:r>
      <w:proofErr w:type="spellStart"/>
      <w:r>
        <w:t>płatwi</w:t>
      </w:r>
      <w:proofErr w:type="spellEnd"/>
      <w:r>
        <w:t xml:space="preserve"> powinny być usytuowane w płaszczyźnie połaci dachowej,</w:t>
      </w:r>
    </w:p>
    <w:p w:rsidR="002A0D61" w:rsidRDefault="00BF2516">
      <w:pPr>
        <w:numPr>
          <w:ilvl w:val="0"/>
          <w:numId w:val="8"/>
        </w:numPr>
        <w:ind w:hanging="360"/>
      </w:pPr>
      <w:r>
        <w:t>przy okapach płatwie powinny być umieszczone w takiej odległości od lica ściany, aby płyty pokrycia dachowego nie wystawały poza płatwie więcej niż:</w:t>
      </w:r>
    </w:p>
    <w:p w:rsidR="002A0D61" w:rsidRDefault="00BF2516">
      <w:pPr>
        <w:numPr>
          <w:ilvl w:val="4"/>
          <w:numId w:val="9"/>
        </w:numPr>
        <w:ind w:hanging="360"/>
      </w:pPr>
      <w:r>
        <w:rPr>
          <w:rFonts w:ascii="Arial" w:eastAsia="Arial" w:hAnsi="Arial" w:cs="Arial"/>
        </w:rPr>
        <w:t>35</w:t>
      </w:r>
      <w:r>
        <w:t xml:space="preserve"> cm przy okapach bez rynien,</w:t>
      </w:r>
    </w:p>
    <w:p w:rsidR="002A0D61" w:rsidRDefault="00BF2516">
      <w:pPr>
        <w:numPr>
          <w:ilvl w:val="4"/>
          <w:numId w:val="9"/>
        </w:numPr>
        <w:ind w:hanging="360"/>
      </w:pPr>
      <w:r>
        <w:rPr>
          <w:rFonts w:ascii="Arial" w:eastAsia="Arial" w:hAnsi="Arial" w:cs="Arial"/>
        </w:rPr>
        <w:t>20</w:t>
      </w:r>
      <w:r>
        <w:t xml:space="preserve"> cm przy okapach z rynnami.</w:t>
      </w:r>
    </w:p>
    <w:p w:rsidR="002A0D61" w:rsidRDefault="00BF2516">
      <w:pPr>
        <w:numPr>
          <w:ilvl w:val="0"/>
          <w:numId w:val="8"/>
        </w:numPr>
        <w:ind w:hanging="360"/>
      </w:pPr>
      <w:r>
        <w:t xml:space="preserve">w przypadku okapu z rynnami, wzdłuż okapu powinna być przybita do </w:t>
      </w:r>
      <w:proofErr w:type="spellStart"/>
      <w:r>
        <w:t>płatwi</w:t>
      </w:r>
      <w:proofErr w:type="spellEnd"/>
      <w:r>
        <w:t xml:space="preserve"> deska, do której przymocuje się uchwyty (haki) rynnowe,</w:t>
      </w:r>
    </w:p>
    <w:p w:rsidR="002A0D61" w:rsidRDefault="00BF2516">
      <w:pPr>
        <w:numPr>
          <w:ilvl w:val="0"/>
          <w:numId w:val="8"/>
        </w:numPr>
        <w:ind w:hanging="360"/>
      </w:pPr>
      <w:r>
        <w:t>na płatwie mogą być zastosowane:</w:t>
      </w:r>
    </w:p>
    <w:p w:rsidR="002A0D61" w:rsidRDefault="00BF2516">
      <w:pPr>
        <w:numPr>
          <w:ilvl w:val="4"/>
          <w:numId w:val="10"/>
        </w:numPr>
        <w:ind w:hanging="360"/>
      </w:pPr>
      <w:r>
        <w:t>dźwigary lub rury stalowe,</w:t>
      </w:r>
    </w:p>
    <w:p w:rsidR="002A0D61" w:rsidRDefault="00BF2516">
      <w:pPr>
        <w:numPr>
          <w:ilvl w:val="4"/>
          <w:numId w:val="10"/>
        </w:numPr>
        <w:ind w:hanging="360"/>
      </w:pPr>
      <w:r>
        <w:t>dźwigary żelbetowe o przekroju dostosowanym do mocowania płyt,</w:t>
      </w:r>
    </w:p>
    <w:p w:rsidR="002A0D61" w:rsidRDefault="00BF2516">
      <w:pPr>
        <w:numPr>
          <w:ilvl w:val="4"/>
          <w:numId w:val="10"/>
        </w:numPr>
        <w:ind w:hanging="360"/>
      </w:pPr>
      <w:r>
        <w:t>brusy drewniane o boku dłuższym, ułożonym prostopadle do górnej powierzchni wiązara (lub dźwigara) dachowego.</w:t>
      </w:r>
    </w:p>
    <w:p w:rsidR="002A0D61" w:rsidRDefault="00BF2516">
      <w:pPr>
        <w:numPr>
          <w:ilvl w:val="0"/>
          <w:numId w:val="8"/>
        </w:numPr>
        <w:ind w:hanging="360"/>
      </w:pPr>
      <w:r>
        <w:t>płatwie drewniane powinny być zabezpieczone przed zagrzybieniem, a płatwie stalowe przed korozją,</w:t>
      </w:r>
    </w:p>
    <w:p w:rsidR="002A0D61" w:rsidRDefault="00BF2516">
      <w:pPr>
        <w:numPr>
          <w:ilvl w:val="0"/>
          <w:numId w:val="8"/>
        </w:numPr>
        <w:ind w:hanging="360"/>
      </w:pPr>
      <w:r>
        <w:t xml:space="preserve">podkład z </w:t>
      </w:r>
      <w:proofErr w:type="spellStart"/>
      <w:r>
        <w:t>płatwi</w:t>
      </w:r>
      <w:proofErr w:type="spellEnd"/>
      <w:r>
        <w:t xml:space="preserve"> w zakresie pochylenia oraz dylatacji połaci dachowych powinien odpowiadać wymaganiom pkt. </w:t>
      </w:r>
      <w:r>
        <w:rPr>
          <w:rFonts w:ascii="Arial" w:eastAsia="Arial" w:hAnsi="Arial" w:cs="Arial"/>
        </w:rPr>
        <w:t>5.1</w:t>
      </w:r>
      <w:r>
        <w:t>,</w:t>
      </w:r>
    </w:p>
    <w:p w:rsidR="002A0D61" w:rsidRDefault="00BF2516">
      <w:pPr>
        <w:numPr>
          <w:ilvl w:val="0"/>
          <w:numId w:val="8"/>
        </w:numPr>
        <w:spacing w:after="438"/>
        <w:ind w:hanging="360"/>
      </w:pPr>
      <w:r>
        <w:t xml:space="preserve">rozstaw </w:t>
      </w:r>
      <w:proofErr w:type="spellStart"/>
      <w:r>
        <w:t>płatwi</w:t>
      </w:r>
      <w:proofErr w:type="spellEnd"/>
      <w:r>
        <w:t xml:space="preserve"> pod pokrycie z płyt falistych poliestrowych wzmocnionych włóknem szklanym powinien wynosić od </w:t>
      </w:r>
      <w:r>
        <w:rPr>
          <w:rFonts w:ascii="Arial" w:eastAsia="Arial" w:hAnsi="Arial" w:cs="Arial"/>
        </w:rPr>
        <w:t>50</w:t>
      </w:r>
      <w:r>
        <w:t xml:space="preserve"> cm do </w:t>
      </w:r>
      <w:r>
        <w:rPr>
          <w:rFonts w:ascii="Arial" w:eastAsia="Arial" w:hAnsi="Arial" w:cs="Arial"/>
        </w:rPr>
        <w:t xml:space="preserve">105 </w:t>
      </w:r>
      <w:r>
        <w:t>cm w zależności od obciążenia pokrycia, rodzaju płyt i gramatury włókna szklanego zastosowanego do wzmocnienia płyt.</w:t>
      </w:r>
    </w:p>
    <w:p w:rsidR="002A0D61" w:rsidRDefault="00BF2516">
      <w:pPr>
        <w:spacing w:after="170"/>
        <w:ind w:right="-15"/>
        <w:jc w:val="left"/>
      </w:pPr>
      <w:r>
        <w:rPr>
          <w:rFonts w:ascii="Times New Roman" w:eastAsia="Times New Roman" w:hAnsi="Times New Roman" w:cs="Times New Roman"/>
        </w:rPr>
        <w:t xml:space="preserve">5.7. </w:t>
      </w:r>
      <w:r>
        <w:rPr>
          <w:b/>
        </w:rPr>
        <w:t>Pokrycia z blachy</w:t>
      </w:r>
    </w:p>
    <w:p w:rsidR="002A0D61" w:rsidRDefault="00BF2516">
      <w:r>
        <w:t>Pokrycia z blachy należy wykonywać zgodnie z wymaganiami podanymi w polskich normach wyrobów i wymaganiami producenta oraz normą PN-B-</w:t>
      </w:r>
      <w:r>
        <w:rPr>
          <w:rFonts w:ascii="Arial" w:eastAsia="Arial" w:hAnsi="Arial" w:cs="Arial"/>
        </w:rPr>
        <w:t>02361</w:t>
      </w:r>
      <w:r>
        <w:t>:</w:t>
      </w:r>
      <w:r>
        <w:rPr>
          <w:rFonts w:ascii="Arial" w:eastAsia="Arial" w:hAnsi="Arial" w:cs="Arial"/>
        </w:rPr>
        <w:t>1999</w:t>
      </w:r>
      <w:r>
        <w:t>.</w:t>
      </w:r>
    </w:p>
    <w:p w:rsidR="002A0D61" w:rsidRDefault="00BF2516">
      <w:r>
        <w:rPr>
          <w:rFonts w:ascii="Times New Roman" w:eastAsia="Times New Roman" w:hAnsi="Times New Roman" w:cs="Times New Roman"/>
        </w:rPr>
        <w:t>5.7.1.</w:t>
      </w:r>
      <w:r>
        <w:rPr>
          <w:rFonts w:ascii="Times New Roman" w:eastAsia="Times New Roman" w:hAnsi="Times New Roman" w:cs="Times New Roman"/>
        </w:rPr>
        <w:tab/>
      </w:r>
      <w:r>
        <w:t>Pokrycia z blach płaskich</w:t>
      </w:r>
    </w:p>
    <w:p w:rsidR="002A0D61" w:rsidRDefault="00BF2516">
      <w:r>
        <w:rPr>
          <w:rFonts w:ascii="Times New Roman" w:eastAsia="Times New Roman" w:hAnsi="Times New Roman" w:cs="Times New Roman"/>
        </w:rPr>
        <w:t xml:space="preserve">5.7.1.1. </w:t>
      </w:r>
      <w:r>
        <w:t>Wymagania ogóle dotyczące pokryć z blach płaskich</w:t>
      </w:r>
    </w:p>
    <w:p w:rsidR="002A0D61" w:rsidRDefault="00BF2516">
      <w:r>
        <w:t>W przypadku pokryć z blach płaskich należy stosować się do następujących zaleceń:</w:t>
      </w:r>
    </w:p>
    <w:p w:rsidR="002A0D61" w:rsidRDefault="00BF2516">
      <w:pPr>
        <w:numPr>
          <w:ilvl w:val="0"/>
          <w:numId w:val="11"/>
        </w:numPr>
        <w:ind w:hanging="360"/>
      </w:pPr>
      <w:r>
        <w:t xml:space="preserve">podkład pod pokrycie powinien spełniać wymagania podane w punktach: </w:t>
      </w:r>
      <w:r>
        <w:rPr>
          <w:rFonts w:ascii="Arial" w:eastAsia="Arial" w:hAnsi="Arial" w:cs="Arial"/>
        </w:rPr>
        <w:t>5.1</w:t>
      </w:r>
      <w:r>
        <w:t xml:space="preserve">, </w:t>
      </w:r>
      <w:r>
        <w:rPr>
          <w:rFonts w:ascii="Arial" w:eastAsia="Arial" w:hAnsi="Arial" w:cs="Arial"/>
        </w:rPr>
        <w:t>5.2</w:t>
      </w:r>
      <w:r>
        <w:t xml:space="preserve">, i </w:t>
      </w:r>
      <w:r>
        <w:rPr>
          <w:rFonts w:ascii="Arial" w:eastAsia="Arial" w:hAnsi="Arial" w:cs="Arial"/>
        </w:rPr>
        <w:t>5,3</w:t>
      </w:r>
      <w:r>
        <w:t>,</w:t>
      </w:r>
    </w:p>
    <w:p w:rsidR="002A0D61" w:rsidRDefault="00BF2516">
      <w:pPr>
        <w:numPr>
          <w:ilvl w:val="0"/>
          <w:numId w:val="11"/>
        </w:numPr>
        <w:ind w:hanging="360"/>
      </w:pPr>
      <w:r>
        <w:lastRenderedPageBreak/>
        <w:t>roboty blacharskie z blachy ocynkowanej mogą być wykonywane o każdej porze roku, lecz w temperaturze nie niższej od –</w:t>
      </w:r>
      <w:r>
        <w:rPr>
          <w:rFonts w:ascii="Arial" w:eastAsia="Arial" w:hAnsi="Arial" w:cs="Arial"/>
        </w:rPr>
        <w:t>15</w:t>
      </w:r>
      <w:r>
        <w:t xml:space="preserve">°C, a w przypadku blach cynkowanych w temperaturze nie niższej niż </w:t>
      </w:r>
      <w:r>
        <w:rPr>
          <w:rFonts w:ascii="Arial" w:eastAsia="Arial" w:hAnsi="Arial" w:cs="Arial"/>
        </w:rPr>
        <w:t>5</w:t>
      </w:r>
      <w:r>
        <w:t>°C. Robót nie wolno wykonywać na oblodzonych podłożach,</w:t>
      </w:r>
    </w:p>
    <w:p w:rsidR="002A0D61" w:rsidRDefault="00BF2516">
      <w:pPr>
        <w:numPr>
          <w:ilvl w:val="0"/>
          <w:numId w:val="11"/>
        </w:numPr>
        <w:spacing w:after="168" w:line="280" w:lineRule="auto"/>
        <w:ind w:hanging="360"/>
      </w:pPr>
      <w:r>
        <w:t>blachy</w:t>
      </w:r>
      <w:r>
        <w:tab/>
        <w:t xml:space="preserve"> nie</w:t>
      </w:r>
      <w:r>
        <w:tab/>
        <w:t xml:space="preserve"> należy</w:t>
      </w:r>
      <w:r>
        <w:tab/>
        <w:t xml:space="preserve"> układać</w:t>
      </w:r>
      <w:r>
        <w:tab/>
        <w:t xml:space="preserve"> bezpośrednio</w:t>
      </w:r>
      <w:r>
        <w:tab/>
        <w:t xml:space="preserve"> na</w:t>
      </w:r>
      <w:r>
        <w:tab/>
        <w:t xml:space="preserve"> podłożach</w:t>
      </w:r>
      <w:r>
        <w:tab/>
        <w:t xml:space="preserve"> z</w:t>
      </w:r>
      <w:r>
        <w:tab/>
        <w:t xml:space="preserve"> betonu,</w:t>
      </w:r>
      <w:r>
        <w:tab/>
        <w:t xml:space="preserve"> tynku</w:t>
      </w:r>
      <w:r>
        <w:tab/>
        <w:t xml:space="preserve"> cementowego</w:t>
      </w:r>
      <w:r>
        <w:tab/>
        <w:t xml:space="preserve"> lub cementowo-wapiennego, z gładzi cementowej oraz na podłożu zawierającym związki siarki. Podłoża te należy najpierw zagruntować roztworem asfaltowym i położyć na nich papę asfaltową. Wymaganie to dotyczy szczególnie miejsc wykonywania obróbek blacharskich,</w:t>
      </w:r>
    </w:p>
    <w:p w:rsidR="002A0D61" w:rsidRDefault="00BF2516">
      <w:pPr>
        <w:numPr>
          <w:ilvl w:val="0"/>
          <w:numId w:val="11"/>
        </w:numPr>
        <w:ind w:hanging="360"/>
      </w:pPr>
      <w:r>
        <w:t>wszystkie wygięcia blach powinny być wykonane w taki sposób, aby nie nastąpiło pęknięcie blachy lub odpryśnięcie powłoki zabezpieczającej blachę.</w:t>
      </w:r>
    </w:p>
    <w:p w:rsidR="002A0D61" w:rsidRDefault="00BF2516">
      <w:r>
        <w:rPr>
          <w:rFonts w:ascii="Times New Roman" w:eastAsia="Times New Roman" w:hAnsi="Times New Roman" w:cs="Times New Roman"/>
        </w:rPr>
        <w:t xml:space="preserve">5.7.1.2. </w:t>
      </w:r>
      <w:r>
        <w:t>Pokrycie z blachy płaskiej stalowej ocynkowanej</w:t>
      </w:r>
    </w:p>
    <w:p w:rsidR="002A0D61" w:rsidRDefault="00BF2516">
      <w:r>
        <w:t>Krycie połaci dachowej blachą płaską stalową ocynkowaną należy rozpocząć od zamocowania pasa usztywniającego i pasa okapowego.</w:t>
      </w:r>
    </w:p>
    <w:p w:rsidR="002A0D61" w:rsidRDefault="00BF2516">
      <w:pPr>
        <w:ind w:left="-15" w:firstLine="286"/>
      </w:pPr>
      <w:r>
        <w:t xml:space="preserve">Pas usztywniający powinien być wykonany z blachy ocynkowanej przeznaczonej do krycia połaci (od </w:t>
      </w:r>
      <w:r>
        <w:rPr>
          <w:rFonts w:ascii="Arial" w:eastAsia="Arial" w:hAnsi="Arial" w:cs="Arial"/>
        </w:rPr>
        <w:t>0,5</w:t>
      </w:r>
      <w:r>
        <w:t xml:space="preserve"> mm do </w:t>
      </w:r>
      <w:r>
        <w:rPr>
          <w:rFonts w:ascii="Arial" w:eastAsia="Arial" w:hAnsi="Arial" w:cs="Arial"/>
        </w:rPr>
        <w:t>0,6</w:t>
      </w:r>
      <w:r>
        <w:t xml:space="preserve"> mm) lub grubszej (do </w:t>
      </w:r>
      <w:r>
        <w:rPr>
          <w:rFonts w:ascii="Arial" w:eastAsia="Arial" w:hAnsi="Arial" w:cs="Arial"/>
        </w:rPr>
        <w:t>0,8</w:t>
      </w:r>
      <w:r>
        <w:t xml:space="preserve"> mm) i przybity do deskowania gwoździami ocynkowanymi w dwóch rzędach mijankowo.</w:t>
      </w:r>
    </w:p>
    <w:p w:rsidR="002A0D61" w:rsidRDefault="00BF2516">
      <w:pPr>
        <w:ind w:left="-15" w:firstLine="286"/>
      </w:pPr>
      <w:r>
        <w:t>Pas okapowy należy wykonać z blachy przeznaczonej do krycia połaci dachowych, łączonej w zależności od spadku na rąbki leżące pojedyncze lub podwójne i mocując go do deskowania żabkami oraz gwoździami ocynkowanymi. Połączenia na rąbki dotyczą połączeń równoległych i prostopadłych do okapu.</w:t>
      </w:r>
    </w:p>
    <w:p w:rsidR="002A0D61" w:rsidRDefault="00BF2516">
      <w:pPr>
        <w:ind w:left="-15" w:firstLine="286"/>
      </w:pPr>
      <w:r>
        <w:t>Na połaciach dachowych arkusze blach powinny być układane krótszymi bokami równolegle do okapu. Jeżeli górny brzeg arkuszu wypada nad szczeliną w deskowaniu, to powinien być ścięty równo z górnym brzegiem deski i ponownie zagięty.</w:t>
      </w:r>
    </w:p>
    <w:p w:rsidR="002A0D61" w:rsidRDefault="00BF2516">
      <w:pPr>
        <w:ind w:left="296"/>
      </w:pPr>
      <w:r>
        <w:t xml:space="preserve">Sąsiadujące ze sobą arkusze blachy pokrycia powinny być przesunięte względem siebie co najmniej o </w:t>
      </w:r>
      <w:r>
        <w:rPr>
          <w:rFonts w:ascii="Arial" w:eastAsia="Arial" w:hAnsi="Arial" w:cs="Arial"/>
        </w:rPr>
        <w:t>10</w:t>
      </w:r>
      <w:r>
        <w:t xml:space="preserve"> cm.</w:t>
      </w:r>
    </w:p>
    <w:p w:rsidR="002A0D61" w:rsidRDefault="00BF2516">
      <w:r>
        <w:t>Arkusze blach powinny być łączone:</w:t>
      </w:r>
    </w:p>
    <w:p w:rsidR="002A0D61" w:rsidRDefault="00BF2516">
      <w:pPr>
        <w:numPr>
          <w:ilvl w:val="0"/>
          <w:numId w:val="12"/>
        </w:numPr>
        <w:ind w:hanging="360"/>
      </w:pPr>
      <w:r>
        <w:t xml:space="preserve">w złączach prostopadłych do okapu – na rąbki stojące podwójne o wysokości od </w:t>
      </w:r>
      <w:r>
        <w:rPr>
          <w:rFonts w:ascii="Arial" w:eastAsia="Arial" w:hAnsi="Arial" w:cs="Arial"/>
        </w:rPr>
        <w:t xml:space="preserve">25 </w:t>
      </w:r>
      <w:r>
        <w:t xml:space="preserve">mm do </w:t>
      </w:r>
      <w:r>
        <w:rPr>
          <w:rFonts w:ascii="Arial" w:eastAsia="Arial" w:hAnsi="Arial" w:cs="Arial"/>
        </w:rPr>
        <w:t>45</w:t>
      </w:r>
      <w:r>
        <w:t xml:space="preserve"> mm,</w:t>
      </w:r>
    </w:p>
    <w:p w:rsidR="002A0D61" w:rsidRDefault="00BF2516">
      <w:pPr>
        <w:numPr>
          <w:ilvl w:val="0"/>
          <w:numId w:val="12"/>
        </w:numPr>
        <w:ind w:hanging="360"/>
      </w:pPr>
      <w:r>
        <w:t xml:space="preserve">w złączach równoległych do okapu – na rąbki leżące pojedyncze przy pochyleniu połaci powyżej </w:t>
      </w:r>
      <w:r>
        <w:rPr>
          <w:rFonts w:ascii="Arial" w:eastAsia="Arial" w:hAnsi="Arial" w:cs="Arial"/>
        </w:rPr>
        <w:t>20</w:t>
      </w:r>
      <w:r>
        <w:t xml:space="preserve">°, lub na rąbki leżące podwójne, przy pochyleniu połaci mniejszym niż </w:t>
      </w:r>
      <w:r>
        <w:rPr>
          <w:rFonts w:ascii="Arial" w:eastAsia="Arial" w:hAnsi="Arial" w:cs="Arial"/>
        </w:rPr>
        <w:t>20</w:t>
      </w:r>
      <w:r>
        <w:t>°,</w:t>
      </w:r>
    </w:p>
    <w:p w:rsidR="002A0D61" w:rsidRDefault="00BF2516">
      <w:pPr>
        <w:numPr>
          <w:ilvl w:val="0"/>
          <w:numId w:val="12"/>
        </w:numPr>
        <w:ind w:hanging="360"/>
      </w:pPr>
      <w:r>
        <w:t xml:space="preserve">w kalenicy i w narożach – na podwójne rąbki stojące o wysokości od </w:t>
      </w:r>
      <w:r>
        <w:rPr>
          <w:rFonts w:ascii="Arial" w:eastAsia="Arial" w:hAnsi="Arial" w:cs="Arial"/>
        </w:rPr>
        <w:t>25</w:t>
      </w:r>
      <w:r>
        <w:t xml:space="preserve"> mm do </w:t>
      </w:r>
      <w:r>
        <w:rPr>
          <w:rFonts w:ascii="Arial" w:eastAsia="Arial" w:hAnsi="Arial" w:cs="Arial"/>
        </w:rPr>
        <w:t xml:space="preserve">45 </w:t>
      </w:r>
      <w:r>
        <w:t>mm.</w:t>
      </w:r>
    </w:p>
    <w:p w:rsidR="002A0D61" w:rsidRDefault="00BF2516">
      <w:pPr>
        <w:ind w:left="-15" w:firstLine="286"/>
      </w:pPr>
      <w:r>
        <w:t xml:space="preserve">Arkusze blach powinny być mocowane do podkładu za pomocą łapek i żabek. Rozstaw łapek w rąbkach stojących nie powinien przekraczać </w:t>
      </w:r>
      <w:r>
        <w:rPr>
          <w:rFonts w:ascii="Arial" w:eastAsia="Arial" w:hAnsi="Arial" w:cs="Arial"/>
        </w:rPr>
        <w:t>50</w:t>
      </w:r>
      <w:r>
        <w:t xml:space="preserve"> cm i </w:t>
      </w:r>
      <w:r>
        <w:rPr>
          <w:rFonts w:ascii="Arial" w:eastAsia="Arial" w:hAnsi="Arial" w:cs="Arial"/>
        </w:rPr>
        <w:t>20</w:t>
      </w:r>
      <w:r>
        <w:t xml:space="preserve"> cm od końca arkusza. W rąbkach leżących rozstaw żabek powinien wynosić nie więcej niż </w:t>
      </w:r>
      <w:r>
        <w:rPr>
          <w:rFonts w:ascii="Arial" w:eastAsia="Arial" w:hAnsi="Arial" w:cs="Arial"/>
        </w:rPr>
        <w:t>45</w:t>
      </w:r>
      <w:r>
        <w:t xml:space="preserve"> cm.</w:t>
      </w:r>
    </w:p>
    <w:p w:rsidR="002A0D61" w:rsidRDefault="00BF2516">
      <w:pPr>
        <w:spacing w:line="303" w:lineRule="auto"/>
        <w:ind w:left="-15" w:firstLine="286"/>
      </w:pPr>
      <w:r>
        <w:t xml:space="preserve">Rąbki leżące sąsiednich pasów powinny być przesunięte względem siebie co najmniej o </w:t>
      </w:r>
      <w:r>
        <w:rPr>
          <w:rFonts w:ascii="Arial" w:eastAsia="Arial" w:hAnsi="Arial" w:cs="Arial"/>
        </w:rPr>
        <w:t xml:space="preserve">10 </w:t>
      </w:r>
      <w:r>
        <w:t xml:space="preserve">cm. Rąbki stojące obu połaci powinny być przesunięte względem siebie o </w:t>
      </w:r>
      <w:r>
        <w:rPr>
          <w:rFonts w:ascii="Arial" w:eastAsia="Arial" w:hAnsi="Arial" w:cs="Arial"/>
          <w:vertAlign w:val="superscript"/>
        </w:rPr>
        <w:t>1</w:t>
      </w:r>
      <w:r>
        <w:rPr>
          <w:rFonts w:ascii="Arial" w:eastAsia="Arial" w:hAnsi="Arial" w:cs="Arial"/>
          <w:sz w:val="14"/>
        </w:rPr>
        <w:t>/</w:t>
      </w:r>
      <w:r>
        <w:rPr>
          <w:rFonts w:ascii="Arial" w:eastAsia="Arial" w:hAnsi="Arial" w:cs="Arial"/>
          <w:vertAlign w:val="subscript"/>
        </w:rPr>
        <w:t>2</w:t>
      </w:r>
      <w:r>
        <w:t xml:space="preserve"> arkusza. Z obu stron kalenicy rąbki stojące powinny być zagięte i położone na długości około </w:t>
      </w:r>
      <w:r>
        <w:rPr>
          <w:rFonts w:ascii="Arial" w:eastAsia="Arial" w:hAnsi="Arial" w:cs="Arial"/>
        </w:rPr>
        <w:t>10</w:t>
      </w:r>
      <w:r>
        <w:t xml:space="preserve"> cm, a blachy obu połaci połączone wzdłuż kalenicy na rąbek stojący.</w:t>
      </w:r>
    </w:p>
    <w:p w:rsidR="002A0D61" w:rsidRDefault="00BF2516">
      <w:pPr>
        <w:ind w:left="-15" w:firstLine="286"/>
      </w:pPr>
      <w:r>
        <w:t>Zlewnie odwadniające należy wykonywać z jednoczesnym kryciem połaci pasem blachy wzdłuż zlewni. Arkusze blachy należy łączyć z pasem zlewni na podwójny rąbek leżący.</w:t>
      </w:r>
    </w:p>
    <w:p w:rsidR="002A0D61" w:rsidRDefault="00BF2516">
      <w:r>
        <w:rPr>
          <w:rFonts w:ascii="Times New Roman" w:eastAsia="Times New Roman" w:hAnsi="Times New Roman" w:cs="Times New Roman"/>
        </w:rPr>
        <w:t xml:space="preserve">5.7.1.3. </w:t>
      </w:r>
      <w:r>
        <w:t>Pokrycie z blachy płaskiej cynkowej</w:t>
      </w:r>
    </w:p>
    <w:p w:rsidR="002A0D61" w:rsidRDefault="00BF2516">
      <w:r>
        <w:t>Krycie połaci dachowej blachą cynkową wykonuje się podobnie, jak krycie blachą ocynkowaną, nie należy jednak stosować połączeń na rąbki (z wyjątkiem kalenic i naroży), lecz na zwoje i zakłady.</w:t>
      </w:r>
    </w:p>
    <w:p w:rsidR="002A0D61" w:rsidRDefault="00BF2516">
      <w:r>
        <w:t xml:space="preserve">Arkusze z blachy cynkowej zaleca się ciąć w poprzek na </w:t>
      </w:r>
      <w:r>
        <w:rPr>
          <w:rFonts w:ascii="Arial" w:eastAsia="Arial" w:hAnsi="Arial" w:cs="Arial"/>
        </w:rPr>
        <w:t>2</w:t>
      </w:r>
      <w:r>
        <w:t xml:space="preserve"> lub </w:t>
      </w:r>
      <w:r>
        <w:rPr>
          <w:rFonts w:ascii="Arial" w:eastAsia="Arial" w:hAnsi="Arial" w:cs="Arial"/>
        </w:rPr>
        <w:t>3</w:t>
      </w:r>
      <w:r>
        <w:t xml:space="preserve"> równe części.</w:t>
      </w:r>
    </w:p>
    <w:p w:rsidR="002A0D61" w:rsidRDefault="00BF2516">
      <w:r>
        <w:t>Arkusze blachy cynkowej powinny być łączone:</w:t>
      </w:r>
    </w:p>
    <w:p w:rsidR="002A0D61" w:rsidRDefault="00BF2516">
      <w:pPr>
        <w:numPr>
          <w:ilvl w:val="0"/>
          <w:numId w:val="13"/>
        </w:numPr>
        <w:ind w:hanging="360"/>
      </w:pPr>
      <w:r>
        <w:t xml:space="preserve">w złączach prostopadłych do okapu – na zwoje o średnicy od </w:t>
      </w:r>
      <w:r>
        <w:rPr>
          <w:rFonts w:ascii="Arial" w:eastAsia="Arial" w:hAnsi="Arial" w:cs="Arial"/>
        </w:rPr>
        <w:t>15</w:t>
      </w:r>
      <w:r>
        <w:t xml:space="preserve"> mm do </w:t>
      </w:r>
      <w:r>
        <w:rPr>
          <w:rFonts w:ascii="Arial" w:eastAsia="Arial" w:hAnsi="Arial" w:cs="Arial"/>
        </w:rPr>
        <w:t>20</w:t>
      </w:r>
      <w:r>
        <w:t xml:space="preserve"> mm,</w:t>
      </w:r>
    </w:p>
    <w:p w:rsidR="002A0D61" w:rsidRDefault="00BF2516">
      <w:pPr>
        <w:numPr>
          <w:ilvl w:val="0"/>
          <w:numId w:val="13"/>
        </w:numPr>
        <w:ind w:hanging="360"/>
      </w:pPr>
      <w:r>
        <w:lastRenderedPageBreak/>
        <w:t xml:space="preserve">w złączach równoległych do okapu – na zakłady luźne o szerokości nie mniejszej niż </w:t>
      </w:r>
      <w:r>
        <w:rPr>
          <w:rFonts w:ascii="Arial" w:eastAsia="Arial" w:hAnsi="Arial" w:cs="Arial"/>
        </w:rPr>
        <w:t xml:space="preserve">100 </w:t>
      </w:r>
      <w:r>
        <w:t xml:space="preserve">mm; dolne brzegi górnych arkuszy powinny być zagięte ku dołowi tak, aby arkusze nie stykały się ze sobą powierzchnią, lecz tylko krawędzią zgięcia na całej swej długości; języki blaszane powinny być przylutowane na całej szerokości do arkuszy i powinny opierać się o deskowanie; rozstaw języków nie powinien być większy od </w:t>
      </w:r>
      <w:r>
        <w:rPr>
          <w:rFonts w:ascii="Arial" w:eastAsia="Arial" w:hAnsi="Arial" w:cs="Arial"/>
        </w:rPr>
        <w:t>46</w:t>
      </w:r>
      <w:r>
        <w:t xml:space="preserve"> cm,</w:t>
      </w:r>
    </w:p>
    <w:p w:rsidR="002A0D61" w:rsidRDefault="00BF2516">
      <w:pPr>
        <w:numPr>
          <w:ilvl w:val="0"/>
          <w:numId w:val="13"/>
        </w:numPr>
        <w:ind w:hanging="360"/>
      </w:pPr>
      <w:r>
        <w:t xml:space="preserve">w kalenicy i narożach – na podwójne rąbki stojące, z zastrzeżeniem, aby ich nie sklepywać na ostro; arkusze </w:t>
      </w:r>
      <w:proofErr w:type="spellStart"/>
      <w:r>
        <w:t>przykalenicowe</w:t>
      </w:r>
      <w:proofErr w:type="spellEnd"/>
      <w:r>
        <w:t xml:space="preserve"> o długości mniejszej niż </w:t>
      </w:r>
      <w:r>
        <w:rPr>
          <w:rFonts w:ascii="Arial" w:eastAsia="Arial" w:hAnsi="Arial" w:cs="Arial"/>
        </w:rPr>
        <w:t>500</w:t>
      </w:r>
      <w:r>
        <w:t xml:space="preserve"> mm należy łączyć z pokryciem połaci na zakłady o szerokości nie mniejszej niż </w:t>
      </w:r>
      <w:r>
        <w:rPr>
          <w:rFonts w:ascii="Arial" w:eastAsia="Arial" w:hAnsi="Arial" w:cs="Arial"/>
        </w:rPr>
        <w:t>100</w:t>
      </w:r>
      <w:r>
        <w:t xml:space="preserve"> mm, bez języków, lecz z przylutowaniem do poprzednich arkuszy na spawy przerywane; długość spawów powinna wynosić od </w:t>
      </w:r>
      <w:r>
        <w:rPr>
          <w:rFonts w:ascii="Arial" w:eastAsia="Arial" w:hAnsi="Arial" w:cs="Arial"/>
        </w:rPr>
        <w:t>40</w:t>
      </w:r>
      <w:r>
        <w:t xml:space="preserve"> mm do </w:t>
      </w:r>
      <w:r>
        <w:rPr>
          <w:rFonts w:ascii="Arial" w:eastAsia="Arial" w:hAnsi="Arial" w:cs="Arial"/>
        </w:rPr>
        <w:t>50</w:t>
      </w:r>
      <w:r>
        <w:t xml:space="preserve"> mm, a odstępy między nimi nie powinny być większe niż </w:t>
      </w:r>
      <w:r>
        <w:rPr>
          <w:rFonts w:ascii="Arial" w:eastAsia="Arial" w:hAnsi="Arial" w:cs="Arial"/>
        </w:rPr>
        <w:t>180</w:t>
      </w:r>
      <w:r>
        <w:t xml:space="preserve"> mm.</w:t>
      </w:r>
    </w:p>
    <w:p w:rsidR="002A0D61" w:rsidRDefault="00BF2516">
      <w:pPr>
        <w:ind w:left="-15" w:firstLine="286"/>
      </w:pPr>
      <w:r>
        <w:t xml:space="preserve">Arkusze blach powinny być mocowane do deskowania żabkami w odstępach nie większych niż </w:t>
      </w:r>
      <w:r>
        <w:rPr>
          <w:rFonts w:ascii="Arial" w:eastAsia="Arial" w:hAnsi="Arial" w:cs="Arial"/>
        </w:rPr>
        <w:t>30</w:t>
      </w:r>
      <w:r>
        <w:t xml:space="preserve"> cm. Gwoździe powinny być ocynkowane, a żabki powinny być wykonane z blachy grubszej niż blacha pokrycia.</w:t>
      </w:r>
    </w:p>
    <w:p w:rsidR="002A0D61" w:rsidRDefault="00BF2516">
      <w:r>
        <w:rPr>
          <w:rFonts w:ascii="Times New Roman" w:eastAsia="Times New Roman" w:hAnsi="Times New Roman" w:cs="Times New Roman"/>
        </w:rPr>
        <w:t xml:space="preserve">5.7.1.4. </w:t>
      </w:r>
      <w:r>
        <w:t>Pokrycie z blachy płaskiej miedzianej</w:t>
      </w:r>
    </w:p>
    <w:p w:rsidR="002A0D61" w:rsidRDefault="00BF2516">
      <w:pPr>
        <w:spacing w:after="0"/>
      </w:pPr>
      <w:r>
        <w:t xml:space="preserve">Pokrycie blachą miedzianą o grubości </w:t>
      </w:r>
      <w:r>
        <w:rPr>
          <w:rFonts w:ascii="Arial" w:eastAsia="Arial" w:hAnsi="Arial" w:cs="Arial"/>
        </w:rPr>
        <w:t>0,5</w:t>
      </w:r>
      <w:r>
        <w:t xml:space="preserve"> mm wykonuje się według zasad podanych dla pokrycia blachą ocynkowaną o grubościach od </w:t>
      </w:r>
      <w:r>
        <w:rPr>
          <w:rFonts w:ascii="Arial" w:eastAsia="Arial" w:hAnsi="Arial" w:cs="Arial"/>
        </w:rPr>
        <w:t>0,5</w:t>
      </w:r>
      <w:r>
        <w:t xml:space="preserve"> mm do </w:t>
      </w:r>
      <w:r>
        <w:rPr>
          <w:rFonts w:ascii="Arial" w:eastAsia="Arial" w:hAnsi="Arial" w:cs="Arial"/>
        </w:rPr>
        <w:t>0,8</w:t>
      </w:r>
      <w:r>
        <w:t xml:space="preserve"> mm oraz według wymagań normy PN-EN </w:t>
      </w:r>
      <w:r>
        <w:rPr>
          <w:rFonts w:ascii="Arial" w:eastAsia="Arial" w:hAnsi="Arial" w:cs="Arial"/>
        </w:rPr>
        <w:t>504</w:t>
      </w:r>
      <w:r>
        <w:t>:</w:t>
      </w:r>
      <w:r>
        <w:rPr>
          <w:rFonts w:ascii="Arial" w:eastAsia="Arial" w:hAnsi="Arial" w:cs="Arial"/>
        </w:rPr>
        <w:t>2002</w:t>
      </w:r>
      <w:r>
        <w:t xml:space="preserve"> dla blach układanych na ciągłym podłożu i zaleceń producenta.</w:t>
      </w:r>
      <w:r>
        <w:br w:type="page"/>
      </w:r>
    </w:p>
    <w:p w:rsidR="002A0D61" w:rsidRDefault="002A0D61">
      <w:pPr>
        <w:sectPr w:rsidR="002A0D61">
          <w:headerReference w:type="even" r:id="rId8"/>
          <w:headerReference w:type="default" r:id="rId9"/>
          <w:footerReference w:type="even" r:id="rId10"/>
          <w:footerReference w:type="default" r:id="rId11"/>
          <w:headerReference w:type="first" r:id="rId12"/>
          <w:footerReference w:type="first" r:id="rId13"/>
          <w:pgSz w:w="11904" w:h="16840"/>
          <w:pgMar w:top="44" w:right="1188" w:bottom="3" w:left="1210" w:header="708" w:footer="708" w:gutter="0"/>
          <w:pgNumType w:start="0"/>
          <w:cols w:space="708"/>
          <w:titlePg/>
        </w:sectPr>
      </w:pPr>
    </w:p>
    <w:p w:rsidR="002A0D61" w:rsidRDefault="00BF2516">
      <w:r>
        <w:lastRenderedPageBreak/>
        <w:t>Złącza prostopadłe do okapu należy wykonywać na rąbki stojące, a złącza równolegle do okapu – na rąbki leżące.</w:t>
      </w:r>
    </w:p>
    <w:p w:rsidR="002A0D61" w:rsidRDefault="00BF2516">
      <w:pPr>
        <w:ind w:left="296"/>
      </w:pPr>
      <w:r>
        <w:t>Gwoździe i żabki do mocowania blach miedzianych do deskowania powinny być miedziane.</w:t>
      </w:r>
    </w:p>
    <w:p w:rsidR="002A0D61" w:rsidRDefault="00BF2516">
      <w:r>
        <w:rPr>
          <w:rFonts w:ascii="Times New Roman" w:eastAsia="Times New Roman" w:hAnsi="Times New Roman" w:cs="Times New Roman"/>
        </w:rPr>
        <w:t xml:space="preserve">5.7.2. </w:t>
      </w:r>
      <w:r>
        <w:t>Pokrycia z blach profilowanych</w:t>
      </w:r>
    </w:p>
    <w:p w:rsidR="002A0D61" w:rsidRDefault="00BF2516">
      <w:r>
        <w:rPr>
          <w:rFonts w:ascii="Times New Roman" w:eastAsia="Times New Roman" w:hAnsi="Times New Roman" w:cs="Times New Roman"/>
        </w:rPr>
        <w:t xml:space="preserve">5.7.2.1. </w:t>
      </w:r>
      <w:r>
        <w:t>Pokrycia z blachy falistej ocynkowanej</w:t>
      </w:r>
    </w:p>
    <w:p w:rsidR="002A0D61" w:rsidRDefault="00BF2516">
      <w:r>
        <w:t xml:space="preserve">Arkusze blachy falistej powinny być mocowane do </w:t>
      </w:r>
      <w:proofErr w:type="spellStart"/>
      <w:r>
        <w:t>płatwi</w:t>
      </w:r>
      <w:proofErr w:type="spellEnd"/>
      <w:r>
        <w:t xml:space="preserve"> stalowych za pomocą przynitowanych zaczepów grubości od </w:t>
      </w:r>
      <w:r>
        <w:rPr>
          <w:rFonts w:ascii="Arial" w:eastAsia="Arial" w:hAnsi="Arial" w:cs="Arial"/>
        </w:rPr>
        <w:t>3</w:t>
      </w:r>
      <w:r>
        <w:t xml:space="preserve"> mm do </w:t>
      </w:r>
      <w:r>
        <w:rPr>
          <w:rFonts w:ascii="Arial" w:eastAsia="Arial" w:hAnsi="Arial" w:cs="Arial"/>
        </w:rPr>
        <w:t>5</w:t>
      </w:r>
      <w:r>
        <w:t xml:space="preserve"> mm, a do </w:t>
      </w:r>
      <w:proofErr w:type="spellStart"/>
      <w:r>
        <w:t>płatwi</w:t>
      </w:r>
      <w:proofErr w:type="spellEnd"/>
      <w:r>
        <w:t xml:space="preserve"> drewnianych za pomocą wspornika kątowego. Zamiast nitowania zaczep może być przylutowany do spodu blachy falistej.</w:t>
      </w:r>
    </w:p>
    <w:p w:rsidR="002A0D61" w:rsidRDefault="00BF2516">
      <w:pPr>
        <w:ind w:left="-15" w:firstLine="286"/>
      </w:pPr>
      <w:r>
        <w:t>Zaczepy powinny być zamocowane w trzeciej fali, licząc od krawędzi podłużnych, w ten sposób, aby każdy arkusz blachy falistej był mocowany dwoma zaczepami. W obszarach o intensywnym działaniu wiatru należy blachę mocować trzema zaczepami na szerokości blachy.</w:t>
      </w:r>
    </w:p>
    <w:p w:rsidR="002A0D61" w:rsidRDefault="00BF2516">
      <w:r>
        <w:t>Arkusze blachy powinny być łączone:</w:t>
      </w:r>
    </w:p>
    <w:p w:rsidR="002A0D61" w:rsidRDefault="00BF2516">
      <w:pPr>
        <w:numPr>
          <w:ilvl w:val="0"/>
          <w:numId w:val="14"/>
        </w:numPr>
        <w:ind w:hanging="360"/>
      </w:pPr>
      <w:r>
        <w:t xml:space="preserve">w złączach prostopadłych do okapu – na zakłady o szerokości jednej lub dwóch fal i mocowane nitami o średnicy 3 mm w odstępach nie większych niż </w:t>
      </w:r>
      <w:r>
        <w:rPr>
          <w:rFonts w:ascii="Arial" w:eastAsia="Arial" w:hAnsi="Arial" w:cs="Arial"/>
        </w:rPr>
        <w:t xml:space="preserve">40 </w:t>
      </w:r>
      <w:r>
        <w:t xml:space="preserve">cm – </w:t>
      </w:r>
      <w:r>
        <w:rPr>
          <w:rFonts w:ascii="Arial" w:eastAsia="Arial" w:hAnsi="Arial" w:cs="Arial"/>
        </w:rPr>
        <w:t>50</w:t>
      </w:r>
      <w:r>
        <w:t xml:space="preserve"> cm; nitowanie powinno być wykonane na grzbiecie skrajnej fali blachy przykrywającej bla­chę dolną,</w:t>
      </w:r>
    </w:p>
    <w:p w:rsidR="002A0D61" w:rsidRDefault="00BF2516">
      <w:pPr>
        <w:numPr>
          <w:ilvl w:val="0"/>
          <w:numId w:val="14"/>
        </w:numPr>
        <w:ind w:hanging="360"/>
      </w:pPr>
      <w:r>
        <w:t xml:space="preserve">w złączach równoległych do okapu – na zakłady o szerokości od </w:t>
      </w:r>
      <w:r>
        <w:rPr>
          <w:rFonts w:ascii="Arial" w:eastAsia="Arial" w:hAnsi="Arial" w:cs="Arial"/>
        </w:rPr>
        <w:t>12</w:t>
      </w:r>
      <w:r>
        <w:t xml:space="preserve"> cm do </w:t>
      </w:r>
      <w:r>
        <w:rPr>
          <w:rFonts w:ascii="Arial" w:eastAsia="Arial" w:hAnsi="Arial" w:cs="Arial"/>
        </w:rPr>
        <w:t>18</w:t>
      </w:r>
      <w:r>
        <w:t xml:space="preserve"> cm, w zależności od nachylenia połaci dachowej.</w:t>
      </w:r>
    </w:p>
    <w:p w:rsidR="002A0D61" w:rsidRDefault="00BF2516">
      <w:pPr>
        <w:ind w:left="-15" w:firstLine="286"/>
      </w:pPr>
      <w:r>
        <w:t>Okap powinien być przykryty przez wysunięcie arkuszy blachy poza linie okapu, a kalenica powinna być pokryta gąsiorami blaszanymi dostosowanymi do profilu blach lub blachą kalenicową dopasowaną indywidualnie do profilu blach.</w:t>
      </w:r>
    </w:p>
    <w:p w:rsidR="002A0D61" w:rsidRDefault="00BF2516">
      <w:pPr>
        <w:ind w:left="296"/>
      </w:pPr>
      <w:r>
        <w:t>W przypadku konieczności uszczelnienia styku podłużnego należy stosować kit elastoplastyczny.</w:t>
      </w:r>
    </w:p>
    <w:p w:rsidR="002A0D61" w:rsidRDefault="00BF2516">
      <w:r>
        <w:rPr>
          <w:rFonts w:ascii="Times New Roman" w:eastAsia="Times New Roman" w:hAnsi="Times New Roman" w:cs="Times New Roman"/>
        </w:rPr>
        <w:t xml:space="preserve">5.7.2.2. </w:t>
      </w:r>
      <w:r>
        <w:t>Pokrycia z blachy trapezowej (fałdowej)</w:t>
      </w:r>
    </w:p>
    <w:p w:rsidR="002A0D61" w:rsidRDefault="00BF2516">
      <w:r>
        <w:t>Krycie blachą trapezową może być wykonywane na dachach o pochyleniu połaci podanym w PN-B-</w:t>
      </w:r>
      <w:r>
        <w:rPr>
          <w:rFonts w:ascii="Arial" w:eastAsia="Arial" w:hAnsi="Arial" w:cs="Arial"/>
        </w:rPr>
        <w:t>02361</w:t>
      </w:r>
      <w:r>
        <w:t>:</w:t>
      </w:r>
      <w:r>
        <w:rPr>
          <w:rFonts w:ascii="Arial" w:eastAsia="Arial" w:hAnsi="Arial" w:cs="Arial"/>
        </w:rPr>
        <w:t>1999</w:t>
      </w:r>
      <w:r>
        <w:t>.</w:t>
      </w:r>
    </w:p>
    <w:p w:rsidR="002A0D61" w:rsidRDefault="00BF2516">
      <w:pPr>
        <w:ind w:left="-15" w:firstLine="286"/>
      </w:pPr>
      <w:r>
        <w:t>Arkusze blach trapezowych powinny być ułożone na połaci w ten sposób, aby szersze dno bruzdy było na spodzie.</w:t>
      </w:r>
    </w:p>
    <w:p w:rsidR="002A0D61" w:rsidRDefault="00BF2516">
      <w:pPr>
        <w:ind w:left="-15" w:firstLine="286"/>
      </w:pPr>
      <w:r>
        <w:t xml:space="preserve">Zakłady podłużne blach trapezowych mogą być pojedyncze lub podwójne, zgodnie z kierunkiem przeważających wiatrów. Zakład podwójny należy stosować wyjątkowo, w miejscach narażonych na spływ dodatkowych ilości wód opadowych i może on obejmować pas o szerokości nie większej niż </w:t>
      </w:r>
      <w:r>
        <w:rPr>
          <w:rFonts w:ascii="Arial" w:eastAsia="Arial" w:hAnsi="Arial" w:cs="Arial"/>
        </w:rPr>
        <w:t>3</w:t>
      </w:r>
      <w:r>
        <w:t xml:space="preserve"> m.</w:t>
      </w:r>
    </w:p>
    <w:p w:rsidR="002A0D61" w:rsidRDefault="00BF2516">
      <w:pPr>
        <w:ind w:left="296"/>
      </w:pPr>
      <w:r>
        <w:t xml:space="preserve">Uszczelki na stykach podłużnych blach trapezowych należy stosować przy pochyleniach mniejszych niż </w:t>
      </w:r>
      <w:r>
        <w:rPr>
          <w:rFonts w:ascii="Arial" w:eastAsia="Arial" w:hAnsi="Arial" w:cs="Arial"/>
        </w:rPr>
        <w:t>55</w:t>
      </w:r>
      <w:r>
        <w:t>%.</w:t>
      </w:r>
    </w:p>
    <w:p w:rsidR="002A0D61" w:rsidRDefault="00BF2516">
      <w:pPr>
        <w:ind w:left="-15" w:firstLine="286"/>
      </w:pPr>
      <w:r>
        <w:t>Szerokość szczelin na zakładach podłużnych powinna być minimalna. W przypadku braku możliwości spełnienia tego wymagania, na przykład ze względu na falistość krawędzi podłużnych blachy, zamiast uszczelek należy stosować kit trwale plastyczny lub elastoplastyczny.</w:t>
      </w:r>
    </w:p>
    <w:p w:rsidR="002A0D61" w:rsidRDefault="00BF2516">
      <w:pPr>
        <w:ind w:left="-15" w:firstLine="286"/>
      </w:pPr>
      <w:r>
        <w:t xml:space="preserve">Długość stosowanych blach powinna być nieco większa od szerokości połaci. Jeżeli nie jest to możliwe, należy wykonać zakłady poprzeczne blach trapezowych usytuowane tylko nad </w:t>
      </w:r>
      <w:proofErr w:type="spellStart"/>
      <w:r>
        <w:t>płatwiami</w:t>
      </w:r>
      <w:proofErr w:type="spellEnd"/>
      <w:r>
        <w:t xml:space="preserve">. W przypadku pochylenia połaci większych lub równych </w:t>
      </w:r>
      <w:r>
        <w:rPr>
          <w:rFonts w:ascii="Arial" w:eastAsia="Arial" w:hAnsi="Arial" w:cs="Arial"/>
        </w:rPr>
        <w:t>55</w:t>
      </w:r>
      <w:r>
        <w:t xml:space="preserve">% nie wymaga się dodatkowego uszczelnienia zakładu poprzecznego. Przy pochyleniu mniejszym </w:t>
      </w:r>
      <w:r>
        <w:rPr>
          <w:rFonts w:ascii="Arial" w:eastAsia="Arial" w:hAnsi="Arial" w:cs="Arial"/>
        </w:rPr>
        <w:t>55</w:t>
      </w:r>
      <w:r>
        <w:t>% w zakładach poprzecznych należy stosować uszczelki.</w:t>
      </w:r>
    </w:p>
    <w:p w:rsidR="002A0D61" w:rsidRDefault="00BF2516">
      <w:pPr>
        <w:ind w:left="-15" w:firstLine="286"/>
      </w:pPr>
      <w:r>
        <w:t xml:space="preserve">W przypadku konieczności </w:t>
      </w:r>
      <w:proofErr w:type="spellStart"/>
      <w:r>
        <w:t>dylatowania</w:t>
      </w:r>
      <w:proofErr w:type="spellEnd"/>
      <w:r>
        <w:t xml:space="preserve"> blach trapezowych na połaci dachowej do </w:t>
      </w:r>
      <w:proofErr w:type="spellStart"/>
      <w:r>
        <w:t>płatwi</w:t>
      </w:r>
      <w:proofErr w:type="spellEnd"/>
      <w:r>
        <w:t xml:space="preserve"> można mocować tylko blachą górną.</w:t>
      </w:r>
    </w:p>
    <w:p w:rsidR="002A0D61" w:rsidRDefault="00BF2516">
      <w:pPr>
        <w:ind w:left="-15" w:firstLine="286"/>
      </w:pPr>
      <w:r>
        <w:t xml:space="preserve">Długość zakładu poprzecznego blach powinna wynosić nie mniej niż </w:t>
      </w:r>
      <w:r>
        <w:rPr>
          <w:rFonts w:ascii="Arial" w:eastAsia="Arial" w:hAnsi="Arial" w:cs="Arial"/>
        </w:rPr>
        <w:t>150</w:t>
      </w:r>
      <w:r>
        <w:t xml:space="preserve"> mm w przypadku pochylenia połaci większego lub równego </w:t>
      </w:r>
      <w:r>
        <w:rPr>
          <w:rFonts w:ascii="Arial" w:eastAsia="Arial" w:hAnsi="Arial" w:cs="Arial"/>
        </w:rPr>
        <w:t>55</w:t>
      </w:r>
      <w:r>
        <w:t xml:space="preserve">% i nie mniej niż </w:t>
      </w:r>
      <w:r>
        <w:rPr>
          <w:rFonts w:ascii="Arial" w:eastAsia="Arial" w:hAnsi="Arial" w:cs="Arial"/>
        </w:rPr>
        <w:t xml:space="preserve">200 </w:t>
      </w:r>
      <w:r>
        <w:t xml:space="preserve">mm – przy pochyleniu mniejszym niż </w:t>
      </w:r>
      <w:r>
        <w:rPr>
          <w:rFonts w:ascii="Arial" w:eastAsia="Arial" w:hAnsi="Arial" w:cs="Arial"/>
        </w:rPr>
        <w:t>55</w:t>
      </w:r>
      <w:r>
        <w:t>%.</w:t>
      </w:r>
    </w:p>
    <w:p w:rsidR="002A0D61" w:rsidRDefault="00BF2516">
      <w:pPr>
        <w:spacing w:after="0"/>
        <w:ind w:left="-15" w:firstLine="286"/>
      </w:pPr>
      <w:r>
        <w:t xml:space="preserve">Do mocowania blach trapezowych do </w:t>
      </w:r>
      <w:proofErr w:type="spellStart"/>
      <w:r>
        <w:t>płatwi</w:t>
      </w:r>
      <w:proofErr w:type="spellEnd"/>
      <w:r>
        <w:t xml:space="preserve"> stalowych należy stosować łączniki samogwintujące (lub śrubę z nakrętką) z podkładką stalową i podkładką gumową o odpowiedniej jakości. Łączniki należy mocować w każdej bruździe blachy trapezowej, a na </w:t>
      </w:r>
      <w:proofErr w:type="spellStart"/>
      <w:r>
        <w:t>płatwiach</w:t>
      </w:r>
      <w:proofErr w:type="spellEnd"/>
      <w:r>
        <w:t xml:space="preserve"> pośrednich w co drugiej bruździe – w przypadku gdy blachy trapezowe mają stanowić element usztywniający płatwie przed utratą stateczności </w:t>
      </w:r>
      <w:proofErr w:type="spellStart"/>
      <w:r>
        <w:t>giętno</w:t>
      </w:r>
      <w:proofErr w:type="spellEnd"/>
      <w:r>
        <w:t xml:space="preserve">-skrętnej. Jeżeli nie jest wymagane takie </w:t>
      </w:r>
      <w:r>
        <w:lastRenderedPageBreak/>
        <w:t xml:space="preserve">usztywnienie, blachy należy mocować do </w:t>
      </w:r>
      <w:proofErr w:type="spellStart"/>
      <w:r>
        <w:t>płatwi</w:t>
      </w:r>
      <w:proofErr w:type="spellEnd"/>
      <w:r>
        <w:t xml:space="preserve"> za pomocą łączników przechodzących przez grzbiety fałdy, z zastosowaniem dodatkowych elementów podtrzymujących, o wymiarach dostosowanych do wymiarów fałdy.</w:t>
      </w:r>
    </w:p>
    <w:p w:rsidR="002A0D61" w:rsidRDefault="00BF2516">
      <w:r>
        <w:t xml:space="preserve">Łącznikami należy mocować każdy grzbiet blachy trapezowej, a na </w:t>
      </w:r>
      <w:proofErr w:type="spellStart"/>
      <w:r>
        <w:t>płatwiach</w:t>
      </w:r>
      <w:proofErr w:type="spellEnd"/>
      <w:r>
        <w:t xml:space="preserve"> pośrednich – co drugi grzbiet.</w:t>
      </w:r>
    </w:p>
    <w:p w:rsidR="002A0D61" w:rsidRDefault="00BF2516">
      <w:pPr>
        <w:spacing w:line="326" w:lineRule="auto"/>
        <w:ind w:left="-15" w:firstLine="286"/>
      </w:pPr>
      <w:r>
        <w:t xml:space="preserve">Odwodnienie dachu należy prowadzić za pomocą rynien odwadniających </w:t>
      </w:r>
      <w:proofErr w:type="spellStart"/>
      <w:r>
        <w:t>dylatowanych</w:t>
      </w:r>
      <w:proofErr w:type="spellEnd"/>
      <w:r>
        <w:t xml:space="preserve"> co </w:t>
      </w:r>
      <w:r>
        <w:rPr>
          <w:rFonts w:ascii="Arial" w:eastAsia="Arial" w:hAnsi="Arial" w:cs="Arial"/>
        </w:rPr>
        <w:t xml:space="preserve">12 </w:t>
      </w:r>
      <w:r>
        <w:t xml:space="preserve">m. Nie należy stosować odwodnienia typu wewnętrznego. </w:t>
      </w:r>
      <w:r>
        <w:rPr>
          <w:rFonts w:ascii="Times New Roman" w:eastAsia="Times New Roman" w:hAnsi="Times New Roman" w:cs="Times New Roman"/>
        </w:rPr>
        <w:t xml:space="preserve">5.7.2.3. </w:t>
      </w:r>
      <w:r>
        <w:t>Pokrycia z profilowanej blachy miedzianej</w:t>
      </w:r>
    </w:p>
    <w:p w:rsidR="002A0D61" w:rsidRDefault="00BF2516">
      <w:r>
        <w:t xml:space="preserve">W przypadku blachy miedzianej przewidzianej do wykonywania samonośnych wyrobów do pokryć dachowych stosuje się ustalenia normy PN-EN </w:t>
      </w:r>
      <w:r>
        <w:rPr>
          <w:rFonts w:ascii="Arial" w:eastAsia="Arial" w:hAnsi="Arial" w:cs="Arial"/>
        </w:rPr>
        <w:t>506</w:t>
      </w:r>
      <w:r>
        <w:t>:</w:t>
      </w:r>
      <w:r>
        <w:rPr>
          <w:rFonts w:ascii="Arial" w:eastAsia="Arial" w:hAnsi="Arial" w:cs="Arial"/>
        </w:rPr>
        <w:t>2002</w:t>
      </w:r>
      <w:r>
        <w:t>.</w:t>
      </w:r>
    </w:p>
    <w:p w:rsidR="002A0D61" w:rsidRDefault="00BF2516">
      <w:pPr>
        <w:ind w:left="296"/>
      </w:pPr>
      <w:r>
        <w:t>Wyroby samonośne z blachy miedzianej są produkowane w profilach: trapezowym, falistym, dachówkowym.</w:t>
      </w:r>
    </w:p>
    <w:p w:rsidR="002A0D61" w:rsidRDefault="00BF2516">
      <w:pPr>
        <w:ind w:left="-15" w:firstLine="286"/>
      </w:pPr>
      <w:r>
        <w:t>Arkusze blachy powinny być łączone na rąbek stojący i zakład, a mocowanie powinno być schowane w obrębie konstrukcji blachy, aby nie było narażone na działanie czynników atmosferycznych.</w:t>
      </w:r>
    </w:p>
    <w:p w:rsidR="002A0D61" w:rsidRDefault="00BF2516">
      <w:r>
        <w:rPr>
          <w:rFonts w:ascii="Times New Roman" w:eastAsia="Times New Roman" w:hAnsi="Times New Roman" w:cs="Times New Roman"/>
        </w:rPr>
        <w:t xml:space="preserve">5.7.3. </w:t>
      </w:r>
      <w:r>
        <w:t>Pokrycia z blachy cynk-miedź- tytan</w:t>
      </w:r>
    </w:p>
    <w:p w:rsidR="002A0D61" w:rsidRDefault="00BF2516">
      <w:r>
        <w:t xml:space="preserve">W przypadku blachy cynk-miedź-tytan, przewidzianej do układania na podłożu ciągłym, elementy wykonane zgodnie z normą PN-EN </w:t>
      </w:r>
      <w:r>
        <w:rPr>
          <w:rFonts w:ascii="Arial" w:eastAsia="Arial" w:hAnsi="Arial" w:cs="Arial"/>
        </w:rPr>
        <w:t>501</w:t>
      </w:r>
      <w:r>
        <w:t>:</w:t>
      </w:r>
      <w:r>
        <w:rPr>
          <w:rFonts w:ascii="Arial" w:eastAsia="Arial" w:hAnsi="Arial" w:cs="Arial"/>
        </w:rPr>
        <w:t>1999</w:t>
      </w:r>
      <w:r>
        <w:t xml:space="preserve">, w formie arkuszy, arkuszy ciętych, rulonów i rulonów ciętych mogą być odcinane, łączone na rąbek, kształtowane i lutowane bez trudności w określonych granicach właściwości wymienionych w odpowiednich wymaganiach materiałowych. Wymagania dotyczące materiałów są określone w projekcie normy EN </w:t>
      </w:r>
      <w:r>
        <w:rPr>
          <w:rFonts w:ascii="Arial" w:eastAsia="Arial" w:hAnsi="Arial" w:cs="Arial"/>
        </w:rPr>
        <w:t>988</w:t>
      </w:r>
      <w:r>
        <w:t>.</w:t>
      </w:r>
    </w:p>
    <w:p w:rsidR="002A0D61" w:rsidRDefault="00BF2516">
      <w:pPr>
        <w:ind w:left="-15" w:firstLine="286"/>
      </w:pPr>
      <w:r>
        <w:t xml:space="preserve">Minimalna dopuszczalna grubość wyrobów (blacha cynk-miedź-tytan) do pokryć dachowych układanych na ciągłym podłożu wynosi </w:t>
      </w:r>
      <w:r>
        <w:rPr>
          <w:rFonts w:ascii="Arial" w:eastAsia="Arial" w:hAnsi="Arial" w:cs="Arial"/>
        </w:rPr>
        <w:t>0,6</w:t>
      </w:r>
      <w:r>
        <w:t xml:space="preserve"> mm.</w:t>
      </w:r>
    </w:p>
    <w:p w:rsidR="002A0D61" w:rsidRDefault="00BF2516">
      <w:pPr>
        <w:ind w:left="296"/>
      </w:pPr>
      <w:r>
        <w:t>Wyroby profilowane (prefabrykowane) dzielą się na dwie kategorie:</w:t>
      </w:r>
    </w:p>
    <w:p w:rsidR="002A0D61" w:rsidRDefault="00BF2516">
      <w:pPr>
        <w:numPr>
          <w:ilvl w:val="0"/>
          <w:numId w:val="15"/>
        </w:numPr>
        <w:ind w:hanging="360"/>
      </w:pPr>
      <w:r>
        <w:t>łączone w wyniku zginania w procesie montażu na budowie,</w:t>
      </w:r>
    </w:p>
    <w:p w:rsidR="002A0D61" w:rsidRDefault="00BF2516">
      <w:pPr>
        <w:numPr>
          <w:ilvl w:val="0"/>
          <w:numId w:val="15"/>
        </w:numPr>
        <w:ind w:hanging="360"/>
      </w:pPr>
      <w:r>
        <w:t>łączone bez zginania w procesie montażu na budowie.</w:t>
      </w:r>
    </w:p>
    <w:p w:rsidR="002A0D61" w:rsidRDefault="00BF2516">
      <w:pPr>
        <w:ind w:left="-15" w:firstLine="286"/>
      </w:pPr>
      <w:r>
        <w:t xml:space="preserve">W przypadku blachy cynk-miedź-tytan przewidzianej do wykonywania samonośnych wyrobów do pokryć dachowych stosuje się ustalenia normy PN-EN </w:t>
      </w:r>
      <w:r>
        <w:rPr>
          <w:rFonts w:ascii="Arial" w:eastAsia="Arial" w:hAnsi="Arial" w:cs="Arial"/>
        </w:rPr>
        <w:t>506</w:t>
      </w:r>
      <w:r>
        <w:t>:</w:t>
      </w:r>
      <w:r>
        <w:rPr>
          <w:rFonts w:ascii="Arial" w:eastAsia="Arial" w:hAnsi="Arial" w:cs="Arial"/>
        </w:rPr>
        <w:t>2002</w:t>
      </w:r>
      <w:r>
        <w:t>.</w:t>
      </w:r>
    </w:p>
    <w:p w:rsidR="002A0D61" w:rsidRDefault="00BF2516">
      <w:pPr>
        <w:ind w:left="-15" w:firstLine="286"/>
      </w:pPr>
      <w:r>
        <w:t>Wyroby samonośne z blachy cynk-miedź-tytan są produkowane w profilach: trapezowym, falistym, dachówkowym.</w:t>
      </w:r>
    </w:p>
    <w:p w:rsidR="002A0D61" w:rsidRDefault="00BF2516">
      <w:pPr>
        <w:ind w:left="-15" w:firstLine="286"/>
      </w:pPr>
      <w:r>
        <w:t>W przypadku blachy profilowanej możliwe jest łączenie na rąbek stojący i zakład, a mocowanie powinno być schowane w obrębie konstrukcji blachy, aby nie było narażone na działanie czynników atmosferycznych.</w:t>
      </w:r>
    </w:p>
    <w:p w:rsidR="002A0D61" w:rsidRDefault="00BF2516">
      <w:r>
        <w:rPr>
          <w:rFonts w:ascii="Times New Roman" w:eastAsia="Times New Roman" w:hAnsi="Times New Roman" w:cs="Times New Roman"/>
        </w:rPr>
        <w:t xml:space="preserve">5.7.4. </w:t>
      </w:r>
      <w:r>
        <w:t>Pokrycia z blachy aluminiowej</w:t>
      </w:r>
    </w:p>
    <w:p w:rsidR="002A0D61" w:rsidRDefault="00BF2516">
      <w:r>
        <w:t xml:space="preserve">Samonośne profilowane blachy aluminiowe przeznaczone do wykonywania pokryć dachowych powinny być stosowane zgodnie z normą PN-EN </w:t>
      </w:r>
      <w:r>
        <w:rPr>
          <w:rFonts w:ascii="Arial" w:eastAsia="Arial" w:hAnsi="Arial" w:cs="Arial"/>
        </w:rPr>
        <w:t>508-2</w:t>
      </w:r>
      <w:r>
        <w:t>:</w:t>
      </w:r>
      <w:r>
        <w:rPr>
          <w:rFonts w:ascii="Arial" w:eastAsia="Arial" w:hAnsi="Arial" w:cs="Arial"/>
        </w:rPr>
        <w:t>2002</w:t>
      </w:r>
      <w:r>
        <w:t>.</w:t>
      </w:r>
    </w:p>
    <w:p w:rsidR="002A0D61" w:rsidRDefault="00BF2516">
      <w:pPr>
        <w:spacing w:after="168"/>
        <w:ind w:left="10" w:right="-15"/>
        <w:jc w:val="center"/>
      </w:pPr>
      <w:r>
        <w:t>Wyroby samonośne z blachy aluminiowej są produkowane w profilach: trapezowym, falistym, dachówkowym.</w:t>
      </w:r>
    </w:p>
    <w:p w:rsidR="002A0D61" w:rsidRDefault="00BF2516">
      <w:pPr>
        <w:ind w:left="-15" w:firstLine="286"/>
      </w:pPr>
      <w:r>
        <w:t>Łączenie blachy wykonuje się na zakład lub na rąbek stojący, a mocowanie powinno być schowane w obrębie konstrukcji blachy, aby nie było narażone na działanie czynników atmosferycznych.</w:t>
      </w:r>
    </w:p>
    <w:p w:rsidR="002A0D61" w:rsidRDefault="00BF2516">
      <w:pPr>
        <w:ind w:left="-15" w:firstLine="286"/>
      </w:pPr>
      <w:r>
        <w:t xml:space="preserve">Blachy aluminiowe przeznaczone do wykonywania pokryć dachowych układanych na ciągłym podłożu powinny być zgodne z normą PN-EN </w:t>
      </w:r>
      <w:r>
        <w:rPr>
          <w:rFonts w:ascii="Arial" w:eastAsia="Arial" w:hAnsi="Arial" w:cs="Arial"/>
        </w:rPr>
        <w:t>507</w:t>
      </w:r>
      <w:r>
        <w:t>:</w:t>
      </w:r>
      <w:r>
        <w:rPr>
          <w:rFonts w:ascii="Arial" w:eastAsia="Arial" w:hAnsi="Arial" w:cs="Arial"/>
        </w:rPr>
        <w:t>2002</w:t>
      </w:r>
      <w:r>
        <w:t>.</w:t>
      </w:r>
    </w:p>
    <w:p w:rsidR="002A0D61" w:rsidRDefault="00BF2516">
      <w:r>
        <w:rPr>
          <w:rFonts w:ascii="Times New Roman" w:eastAsia="Times New Roman" w:hAnsi="Times New Roman" w:cs="Times New Roman"/>
        </w:rPr>
        <w:t xml:space="preserve">5.7.5. </w:t>
      </w:r>
      <w:r>
        <w:t>Inne pokrycia z blach</w:t>
      </w:r>
    </w:p>
    <w:p w:rsidR="002A0D61" w:rsidRDefault="00BF2516">
      <w:r>
        <w:t>Pokrycia dachowe z blachy stalowej z powłokami metalicznymi: cynkowo-aluminiową, aluminiowo-cynkową, aluminiową, organiczną, wielowarstwową układane na ciągłym podłożu powinny spełniać wymagania podane w instrukcji producenta wyrobu. Warunki montażu powinny być takie, by niższe, płaskie fragmenty wyrobu były podparte na ciągłej konstrukcji.</w:t>
      </w:r>
    </w:p>
    <w:p w:rsidR="002A0D61" w:rsidRDefault="00BF2516">
      <w:pPr>
        <w:ind w:left="-15" w:firstLine="286"/>
      </w:pPr>
      <w:r>
        <w:t xml:space="preserve">Wyroby z blachy stalowej z powłokami jw., układane na ciągłym podłożu, powinny spełniać wymagania normy PN-EN </w:t>
      </w:r>
      <w:r>
        <w:rPr>
          <w:rFonts w:ascii="Arial" w:eastAsia="Arial" w:hAnsi="Arial" w:cs="Arial"/>
        </w:rPr>
        <w:t>505</w:t>
      </w:r>
      <w:r>
        <w:t>:</w:t>
      </w:r>
      <w:r>
        <w:rPr>
          <w:rFonts w:ascii="Arial" w:eastAsia="Arial" w:hAnsi="Arial" w:cs="Arial"/>
        </w:rPr>
        <w:t>2002</w:t>
      </w:r>
      <w:r>
        <w:t>.</w:t>
      </w:r>
    </w:p>
    <w:p w:rsidR="002A0D61" w:rsidRDefault="00BF2516">
      <w:pPr>
        <w:spacing w:after="0"/>
        <w:ind w:left="-15" w:firstLine="286"/>
      </w:pPr>
      <w:r>
        <w:lastRenderedPageBreak/>
        <w:t>Zakłady wyrobów z blachy stalowej z powłokami jw., układane na ciągłym podłożu, można wykonywać na rąbek stojący.</w:t>
      </w:r>
    </w:p>
    <w:p w:rsidR="002A0D61" w:rsidRDefault="00BF2516">
      <w:pPr>
        <w:spacing w:after="77"/>
      </w:pPr>
      <w:r>
        <w:t>Pokrycia dachowe z blachy ze stali odpornej na korozję z powłokami metalicznymi: ołowiano-cynową, cynową, organiczną, układane na ciągłym podłożu, powinny spełniać wymagania podane w instrukcji producenta wyrobu.</w:t>
      </w:r>
    </w:p>
    <w:p w:rsidR="002A0D61" w:rsidRDefault="00BF2516">
      <w:r>
        <w:t>Warunki montażu powinny być takie, aby niższe, płaskie fragmenty wyrobu były podparte na ciągłej konstrukcji.</w:t>
      </w:r>
    </w:p>
    <w:p w:rsidR="002A0D61" w:rsidRDefault="00BF2516">
      <w:pPr>
        <w:ind w:left="-15" w:firstLine="286"/>
      </w:pPr>
      <w:r>
        <w:t xml:space="preserve">Wyroby z blachy ze stali odpornej na korozję z powłokami jw., układane na ciągłym podłożu, powinny spełniać wymagania normy PN-EN </w:t>
      </w:r>
      <w:r>
        <w:rPr>
          <w:rFonts w:ascii="Arial" w:eastAsia="Arial" w:hAnsi="Arial" w:cs="Arial"/>
        </w:rPr>
        <w:t>502</w:t>
      </w:r>
      <w:r>
        <w:t>:</w:t>
      </w:r>
      <w:r>
        <w:rPr>
          <w:rFonts w:ascii="Arial" w:eastAsia="Arial" w:hAnsi="Arial" w:cs="Arial"/>
        </w:rPr>
        <w:t>2002</w:t>
      </w:r>
      <w:r>
        <w:t>.</w:t>
      </w:r>
    </w:p>
    <w:p w:rsidR="002A0D61" w:rsidRDefault="00BF2516">
      <w:pPr>
        <w:ind w:left="-15" w:firstLine="286"/>
      </w:pPr>
      <w:r>
        <w:t>Zakłady wyrobów z blachy stalowej z powłokami jw., układane na ciągłym podłożu, można wykonywać na rąbek stojący i na zwoje.</w:t>
      </w:r>
    </w:p>
    <w:p w:rsidR="002A0D61" w:rsidRDefault="00BF2516">
      <w:pPr>
        <w:ind w:left="-15" w:firstLine="286"/>
      </w:pPr>
      <w:r>
        <w:t>Wyroby samonośne z blachy stalowej i ze stali odpornej na korozję są produkowane w profilach: trapezowym, falistym, dachówkowym.</w:t>
      </w:r>
    </w:p>
    <w:p w:rsidR="002A0D61" w:rsidRDefault="00BF2516">
      <w:pPr>
        <w:ind w:left="-15" w:firstLine="286"/>
      </w:pPr>
      <w:r>
        <w:t xml:space="preserve">Samonośne profilowane pokrycia dachowe z blachy stalowej i stalowej odpornej na korozję z powłokami metalicznymi: cynkowo-aluminiową, aluminiowo-cynkową, aluminiową, organiczną, wielowarstwową powinny spełniać wymagania podane w instrukcji producenta wyrobu oraz w normach PN-EN </w:t>
      </w:r>
      <w:r>
        <w:rPr>
          <w:rFonts w:ascii="Arial" w:eastAsia="Arial" w:hAnsi="Arial" w:cs="Arial"/>
        </w:rPr>
        <w:t>508-1</w:t>
      </w:r>
      <w:r>
        <w:t>:</w:t>
      </w:r>
      <w:r>
        <w:rPr>
          <w:rFonts w:ascii="Arial" w:eastAsia="Arial" w:hAnsi="Arial" w:cs="Arial"/>
        </w:rPr>
        <w:t>2002</w:t>
      </w:r>
      <w:r>
        <w:t xml:space="preserve"> i PN-EN </w:t>
      </w:r>
      <w:r>
        <w:rPr>
          <w:rFonts w:ascii="Arial" w:eastAsia="Arial" w:hAnsi="Arial" w:cs="Arial"/>
        </w:rPr>
        <w:t>508-3</w:t>
      </w:r>
      <w:r>
        <w:t xml:space="preserve">: </w:t>
      </w:r>
      <w:r>
        <w:rPr>
          <w:rFonts w:ascii="Arial" w:eastAsia="Arial" w:hAnsi="Arial" w:cs="Arial"/>
        </w:rPr>
        <w:t>2002</w:t>
      </w:r>
      <w:r>
        <w:t>.</w:t>
      </w:r>
    </w:p>
    <w:p w:rsidR="002A0D61" w:rsidRDefault="00BF2516">
      <w:pPr>
        <w:ind w:left="-15" w:firstLine="286"/>
      </w:pPr>
      <w:r>
        <w:t xml:space="preserve">Samonośne profilowane wyroby z blachy stalowej z powłokami jw. powinny spełniać wymagania norm PN-EN </w:t>
      </w:r>
      <w:r>
        <w:rPr>
          <w:rFonts w:ascii="Arial" w:eastAsia="Arial" w:hAnsi="Arial" w:cs="Arial"/>
        </w:rPr>
        <w:t>508-1</w:t>
      </w:r>
      <w:r>
        <w:t>:</w:t>
      </w:r>
      <w:r>
        <w:rPr>
          <w:rFonts w:ascii="Arial" w:eastAsia="Arial" w:hAnsi="Arial" w:cs="Arial"/>
        </w:rPr>
        <w:t>2002</w:t>
      </w:r>
      <w:r>
        <w:t xml:space="preserve"> i PN-EN </w:t>
      </w:r>
      <w:r>
        <w:rPr>
          <w:rFonts w:ascii="Arial" w:eastAsia="Arial" w:hAnsi="Arial" w:cs="Arial"/>
        </w:rPr>
        <w:t>508-3</w:t>
      </w:r>
      <w:r>
        <w:t>:</w:t>
      </w:r>
      <w:r>
        <w:rPr>
          <w:rFonts w:ascii="Arial" w:eastAsia="Arial" w:hAnsi="Arial" w:cs="Arial"/>
        </w:rPr>
        <w:t>2002</w:t>
      </w:r>
      <w:r>
        <w:t>.</w:t>
      </w:r>
    </w:p>
    <w:p w:rsidR="002A0D61" w:rsidRDefault="00BF2516">
      <w:pPr>
        <w:ind w:left="-15" w:firstLine="286"/>
      </w:pPr>
      <w:r>
        <w:t>Łączenie samonośnych profilowanych wyrobów z blachy stalowej z powłokami jw. wykonuje się na zakład lub na rąbek stojący. Mocowanie powinno być schowane w obrębie konstrukcji blachy, aby nie było narażone na działanie czynników atmosferycznych.</w:t>
      </w:r>
    </w:p>
    <w:p w:rsidR="002A0D61" w:rsidRDefault="00BF2516">
      <w:pPr>
        <w:ind w:left="296"/>
      </w:pPr>
      <w:r>
        <w:t>W przypadku montażu profili dachówkowych należy przestrzegać następujących zasad:</w:t>
      </w:r>
    </w:p>
    <w:p w:rsidR="002A0D61" w:rsidRDefault="00BF2516">
      <w:pPr>
        <w:numPr>
          <w:ilvl w:val="0"/>
          <w:numId w:val="16"/>
        </w:numPr>
        <w:ind w:hanging="360"/>
      </w:pPr>
      <w:r>
        <w:t>blachy przycina się za pomocą nożyc wibracyjnych, a w przypadku małego zakresu cięcia za pomocą piły lub nożyc do blach. Nie wolno do cięcia używać szlifierek kątowych lub innych narzędzi wytwarzających podczas cięcia wysoką temperaturę – ze względu na korozję miejsc ciętych,</w:t>
      </w:r>
    </w:p>
    <w:p w:rsidR="002A0D61" w:rsidRDefault="00BF2516">
      <w:pPr>
        <w:numPr>
          <w:ilvl w:val="0"/>
          <w:numId w:val="16"/>
        </w:numPr>
        <w:ind w:hanging="360"/>
      </w:pPr>
      <w:r>
        <w:t>po cięciu i wierceniu należy usunąć wszystkie metalowe odpady mogące spowodować odbarwienie powierzchni blach,</w:t>
      </w:r>
    </w:p>
    <w:p w:rsidR="002A0D61" w:rsidRDefault="00BF2516">
      <w:pPr>
        <w:numPr>
          <w:ilvl w:val="0"/>
          <w:numId w:val="16"/>
        </w:numPr>
        <w:ind w:hanging="360"/>
      </w:pPr>
      <w:r>
        <w:t xml:space="preserve">blachodachówki należy układać i mocować je za pomocą wkrętów </w:t>
      </w:r>
      <w:proofErr w:type="spellStart"/>
      <w:r>
        <w:t>samonawiercających</w:t>
      </w:r>
      <w:proofErr w:type="spellEnd"/>
      <w:r>
        <w:t xml:space="preserve"> do łat drewnianych lub metalowych. Wkręty należy wkręcać za pomocą wiertarek ze sprzęgłem, zwracając uwagę, aby nie uszkodzić przy tym nakładek z EPDM. Podkładka powinna nieznacznie wystawać poza brzeg górnej podkładki stalowej. Wkręty powinny być umieszczone w środku wgłębienia, w dolnej fali. Powinny być mocowane w co drugiej fali, w co drugim rzędzie dachówek, zaś przy okapie i w kalenicy – w każdej fali oraz w każdym szeregu dachówek na bocznej nakładającej się krawędzi,</w:t>
      </w:r>
    </w:p>
    <w:p w:rsidR="002A0D61" w:rsidRDefault="00BF2516">
      <w:pPr>
        <w:numPr>
          <w:ilvl w:val="0"/>
          <w:numId w:val="16"/>
        </w:numPr>
        <w:ind w:hanging="360"/>
      </w:pPr>
      <w:r>
        <w:t xml:space="preserve">przed montażem blach dachówkowych należy zmontować haki rynnowe oraz pasy </w:t>
      </w:r>
      <w:proofErr w:type="spellStart"/>
      <w:r>
        <w:t>podrynnowe</w:t>
      </w:r>
      <w:proofErr w:type="spellEnd"/>
      <w:r>
        <w:t xml:space="preserve"> i następnie przystąpić do układania profili rzędami od okapu do kalenicy, rozpoczynając od prawego dolnego rogu. Pierwszy szereg arkuszy musi być ułożony pod prawidłowym kątem ze względu na niebezpieczeństwo skręcania arkusza. Pomocne jest w tym przypadku zamocowanie deski przy okapie co wymusza prawidłowy kąt montażu. Po zamocowaniu deski można kilka pierwszych arkuszy ułożyć bez przykręcania, w celu znalezienia prawidłowego sposobu ułożenia,</w:t>
      </w:r>
    </w:p>
    <w:p w:rsidR="002A0D61" w:rsidRDefault="00BF2516">
      <w:pPr>
        <w:numPr>
          <w:ilvl w:val="0"/>
          <w:numId w:val="16"/>
        </w:numPr>
        <w:ind w:hanging="360"/>
      </w:pPr>
      <w:r>
        <w:t>pokrycia z blach o profilu dachówkowym powinny być wentylowane, tak aby powietrze mogło swobodnie przepływać od okapu do kalenicy pod warstwą pokrycia z blachy,</w:t>
      </w:r>
    </w:p>
    <w:p w:rsidR="002A0D61" w:rsidRDefault="00BF2516">
      <w:pPr>
        <w:numPr>
          <w:ilvl w:val="0"/>
          <w:numId w:val="16"/>
        </w:numPr>
        <w:ind w:hanging="360"/>
      </w:pPr>
      <w:r>
        <w:t xml:space="preserve">niezbędne jest prawidłowe uszczelnienie kalenicy i okapu za pomocą specjalnych uszczelek, w celu uniemożliwienia przedostawania się śniegu i kurzu. W przypadku dachów płaskich o pochyleniu połaci do </w:t>
      </w:r>
      <w:r>
        <w:rPr>
          <w:rFonts w:ascii="Arial" w:eastAsia="Arial" w:hAnsi="Arial" w:cs="Arial"/>
        </w:rPr>
        <w:t>30</w:t>
      </w:r>
      <w:r>
        <w:t xml:space="preserve">° zaleca się stosowanie uszczelek wzdłuż całej kalenicy i okapu, zapewniając dostęp powietrza przy okapie oraz wylot w kalenicy. Kalenicę dachów o kącie nachylenia połaci dachowej powyżej </w:t>
      </w:r>
      <w:r>
        <w:rPr>
          <w:rFonts w:ascii="Arial" w:eastAsia="Arial" w:hAnsi="Arial" w:cs="Arial"/>
        </w:rPr>
        <w:t>30</w:t>
      </w:r>
      <w:r>
        <w:t>° można pozostawić bez uszczelek, zaginając do góry dolne części fal,</w:t>
      </w:r>
    </w:p>
    <w:p w:rsidR="002A0D61" w:rsidRDefault="00BF2516">
      <w:pPr>
        <w:numPr>
          <w:ilvl w:val="0"/>
          <w:numId w:val="16"/>
        </w:numPr>
        <w:spacing w:after="0"/>
        <w:ind w:hanging="360"/>
      </w:pPr>
      <w:r>
        <w:t>wszystkie uszkodzenia powłok powstałe w czasie transportu i montażu należy zamalować farbą zaprawową.</w:t>
      </w:r>
    </w:p>
    <w:p w:rsidR="002A0D61" w:rsidRDefault="00BF2516">
      <w:r>
        <w:rPr>
          <w:rFonts w:ascii="Times New Roman" w:eastAsia="Times New Roman" w:hAnsi="Times New Roman" w:cs="Times New Roman"/>
        </w:rPr>
        <w:t xml:space="preserve">5.7.6. </w:t>
      </w:r>
      <w:r>
        <w:t>Pokrycia z płyt z tworzyw sztucznych</w:t>
      </w:r>
    </w:p>
    <w:p w:rsidR="002A0D61" w:rsidRDefault="00BF2516">
      <w:r>
        <w:lastRenderedPageBreak/>
        <w:t xml:space="preserve">Podkład pod pokrycie z płyt z tworzyw sztucznych powinien spełniać wymagania podane w pkt. </w:t>
      </w:r>
      <w:r>
        <w:rPr>
          <w:rFonts w:ascii="Arial" w:eastAsia="Arial" w:hAnsi="Arial" w:cs="Arial"/>
        </w:rPr>
        <w:t>5.6.</w:t>
      </w:r>
    </w:p>
    <w:p w:rsidR="002A0D61" w:rsidRDefault="00BF2516">
      <w:pPr>
        <w:ind w:left="-15" w:firstLine="286"/>
      </w:pPr>
      <w:r>
        <w:t>Przy kryciu dachów płytami z tworzyw sztucznych obowiązują zasady podane w wymaganiach producenta i innych dokumentach odniesienia, na przykład aprobatach technicznych.</w:t>
      </w:r>
    </w:p>
    <w:p w:rsidR="002A0D61" w:rsidRDefault="00BF2516">
      <w:pPr>
        <w:ind w:left="296"/>
      </w:pPr>
      <w:r>
        <w:t>Przed rozpoczęciem układania płyt powinny być wykonane niezbędne obróbki blacharskie.</w:t>
      </w:r>
    </w:p>
    <w:p w:rsidR="002A0D61" w:rsidRDefault="00BF2516">
      <w:pPr>
        <w:ind w:left="-15" w:firstLine="286"/>
      </w:pPr>
      <w:r>
        <w:t xml:space="preserve">Z uwagi na to, że rozszerzalność termiczna płyt z tworzyw sztucznych jest znacznie większa niż odkształcalność materiałów stanowiących podkład, płyty należy mocować do podkładu w sposób umożliwiający swobodę wydłużania się ich w stosunku do podkładu. Średnice otworów na wkręty lub haki mocujące płyty powinny być od </w:t>
      </w:r>
      <w:r>
        <w:rPr>
          <w:rFonts w:ascii="Arial" w:eastAsia="Arial" w:hAnsi="Arial" w:cs="Arial"/>
        </w:rPr>
        <w:t>2</w:t>
      </w:r>
      <w:r>
        <w:t xml:space="preserve"> mm do </w:t>
      </w:r>
      <w:r>
        <w:rPr>
          <w:rFonts w:ascii="Arial" w:eastAsia="Arial" w:hAnsi="Arial" w:cs="Arial"/>
        </w:rPr>
        <w:t xml:space="preserve">4 </w:t>
      </w:r>
      <w:r>
        <w:t>mm większe od średnicy tych łączników. Pod główki wkrętów lub nakrętek haków należy stosować podkładki metalowe lub elastyczne z tworzyw sztucznych.</w:t>
      </w:r>
    </w:p>
    <w:p w:rsidR="002A0D61" w:rsidRDefault="00BF2516">
      <w:pPr>
        <w:ind w:left="-15" w:firstLine="286"/>
      </w:pPr>
      <w:r>
        <w:t>Styk pokrycia z murami prostopadłymi do okapu powinien być przykryty blachą zachodzącą na płyty na szerokość co najmniej jednej fali.</w:t>
      </w:r>
    </w:p>
    <w:p w:rsidR="002A0D61" w:rsidRDefault="00BF2516">
      <w:pPr>
        <w:spacing w:after="532"/>
        <w:ind w:left="10" w:right="32"/>
        <w:jc w:val="right"/>
      </w:pPr>
      <w:r>
        <w:t xml:space="preserve">Zabrania się podpierania płyt falistych z tworzyw sztucznych punktowo lub na ostrych krawędziach łat lub </w:t>
      </w:r>
      <w:proofErr w:type="spellStart"/>
      <w:r>
        <w:t>płatwi</w:t>
      </w:r>
      <w:proofErr w:type="spellEnd"/>
      <w:r>
        <w:t>.</w:t>
      </w:r>
    </w:p>
    <w:p w:rsidR="002A0D61" w:rsidRDefault="00BF2516">
      <w:pPr>
        <w:spacing w:after="170"/>
        <w:ind w:right="-15"/>
        <w:jc w:val="left"/>
      </w:pPr>
      <w:r>
        <w:rPr>
          <w:rFonts w:ascii="Times New Roman" w:eastAsia="Times New Roman" w:hAnsi="Times New Roman" w:cs="Times New Roman"/>
        </w:rPr>
        <w:t xml:space="preserve">5.8. </w:t>
      </w:r>
      <w:r>
        <w:rPr>
          <w:b/>
        </w:rPr>
        <w:t>Obróbki blacharskie</w:t>
      </w:r>
    </w:p>
    <w:p w:rsidR="002A0D61" w:rsidRDefault="00BF2516">
      <w:pPr>
        <w:numPr>
          <w:ilvl w:val="2"/>
          <w:numId w:val="20"/>
        </w:numPr>
        <w:ind w:hanging="570"/>
      </w:pPr>
      <w:r>
        <w:t>Obróbki blacharskie powinny być dostosowane do rodzaju pokrycia.</w:t>
      </w:r>
    </w:p>
    <w:p w:rsidR="002A0D61" w:rsidRDefault="00BF2516">
      <w:pPr>
        <w:numPr>
          <w:ilvl w:val="2"/>
          <w:numId w:val="20"/>
        </w:numPr>
        <w:ind w:hanging="570"/>
      </w:pPr>
      <w:r>
        <w:t xml:space="preserve">Obróbki blacharskie z blachy stalowej i stalowej ocynkowanej o grubości od </w:t>
      </w:r>
      <w:r>
        <w:rPr>
          <w:rFonts w:ascii="Arial" w:eastAsia="Arial" w:hAnsi="Arial" w:cs="Arial"/>
        </w:rPr>
        <w:t>0,5</w:t>
      </w:r>
      <w:r>
        <w:t xml:space="preserve"> mm do </w:t>
      </w:r>
      <w:r>
        <w:rPr>
          <w:rFonts w:ascii="Arial" w:eastAsia="Arial" w:hAnsi="Arial" w:cs="Arial"/>
        </w:rPr>
        <w:t>0,6</w:t>
      </w:r>
      <w:r>
        <w:t xml:space="preserve"> mm można wykonywać o każdej porze roku, lecz w temperaturze nie niższej od –</w:t>
      </w:r>
      <w:r>
        <w:rPr>
          <w:rFonts w:ascii="Arial" w:eastAsia="Arial" w:hAnsi="Arial" w:cs="Arial"/>
        </w:rPr>
        <w:t>15</w:t>
      </w:r>
      <w:r>
        <w:t>°C. Robót nie można wykonywać na oblodzonych podłożach.</w:t>
      </w:r>
    </w:p>
    <w:p w:rsidR="002A0D61" w:rsidRDefault="00BF2516">
      <w:pPr>
        <w:numPr>
          <w:ilvl w:val="2"/>
          <w:numId w:val="20"/>
        </w:numPr>
        <w:spacing w:after="485"/>
        <w:ind w:hanging="570"/>
      </w:pPr>
      <w:r>
        <w:t>Przy wykonywaniu obróbek blacharskich należy pamiętać o konieczności zachowania dylatacji. Dylatacje konstrukcyjne powinny być zabezpieczone w sposób umożliwiający przeniesienie ruchów poziomych i pionowych dachu w taki sposób, aby następował szybki odpływ wody z obszaru dylatacji.</w:t>
      </w:r>
    </w:p>
    <w:p w:rsidR="002A0D61" w:rsidRDefault="00BF2516">
      <w:pPr>
        <w:spacing w:after="170"/>
        <w:ind w:right="-15"/>
        <w:jc w:val="left"/>
      </w:pPr>
      <w:r>
        <w:rPr>
          <w:rFonts w:ascii="Times New Roman" w:eastAsia="Times New Roman" w:hAnsi="Times New Roman" w:cs="Times New Roman"/>
        </w:rPr>
        <w:t xml:space="preserve">5.9. </w:t>
      </w:r>
      <w:r>
        <w:rPr>
          <w:b/>
        </w:rPr>
        <w:t>Urządzenia do odprowadzania wód opadowych</w:t>
      </w:r>
    </w:p>
    <w:p w:rsidR="002A0D61" w:rsidRDefault="00BF2516">
      <w:pPr>
        <w:numPr>
          <w:ilvl w:val="2"/>
          <w:numId w:val="19"/>
        </w:numPr>
        <w:ind w:hanging="570"/>
      </w:pPr>
      <w:r>
        <w:t xml:space="preserve">W dachach (stropodachach) z odwodnieniem zewnętrznym w warstwach </w:t>
      </w:r>
      <w:proofErr w:type="spellStart"/>
      <w:r>
        <w:t>przekrycia</w:t>
      </w:r>
      <w:proofErr w:type="spellEnd"/>
      <w:r>
        <w:t xml:space="preserve"> powinny być osadzone uchwyty rynnowe (</w:t>
      </w:r>
      <w:proofErr w:type="spellStart"/>
      <w:r>
        <w:t>rynhaki</w:t>
      </w:r>
      <w:proofErr w:type="spellEnd"/>
      <w:r>
        <w:t>) o wyregulowanym spadku podłużnym.</w:t>
      </w:r>
    </w:p>
    <w:p w:rsidR="002A0D61" w:rsidRDefault="00BF2516">
      <w:pPr>
        <w:numPr>
          <w:ilvl w:val="2"/>
          <w:numId w:val="19"/>
        </w:numPr>
        <w:ind w:hanging="570"/>
      </w:pPr>
      <w:r>
        <w:t xml:space="preserve">W dachach (stropodachach) z odwodnieniem wewnętrznym w podłożu powinny być wyrobione koryta odwadniające o przekroju trójkątnym lub trapezowym. Nie należy stosować koryt o przekroju prostokątnym. Niedopuszczalne jest sytuowanie koryt wzdłuż ścian attykowych, ścian budynków wyższych w odległości mniejszej niż </w:t>
      </w:r>
      <w:r>
        <w:rPr>
          <w:rFonts w:ascii="Arial" w:eastAsia="Arial" w:hAnsi="Arial" w:cs="Arial"/>
        </w:rPr>
        <w:t>0,5</w:t>
      </w:r>
      <w:r>
        <w:t xml:space="preserve"> m oraz nad dylatacjami konstrukcyjnymi.</w:t>
      </w:r>
    </w:p>
    <w:p w:rsidR="002A0D61" w:rsidRDefault="00BF2516">
      <w:pPr>
        <w:numPr>
          <w:ilvl w:val="2"/>
          <w:numId w:val="19"/>
        </w:numPr>
        <w:ind w:hanging="570"/>
      </w:pPr>
      <w:r>
        <w:t xml:space="preserve">Spadki koryt dachowych nie powinny być mniejsze niż </w:t>
      </w:r>
      <w:r>
        <w:rPr>
          <w:rFonts w:ascii="Arial" w:eastAsia="Arial" w:hAnsi="Arial" w:cs="Arial"/>
        </w:rPr>
        <w:t>1</w:t>
      </w:r>
      <w:r>
        <w:t>,</w:t>
      </w:r>
      <w:r>
        <w:rPr>
          <w:rFonts w:ascii="Arial" w:eastAsia="Arial" w:hAnsi="Arial" w:cs="Arial"/>
        </w:rPr>
        <w:t>5</w:t>
      </w:r>
      <w:r>
        <w:t xml:space="preserve">%, a rozstaw rur spustowych nie powinien przekraczać </w:t>
      </w:r>
      <w:r>
        <w:rPr>
          <w:rFonts w:ascii="Arial" w:eastAsia="Arial" w:hAnsi="Arial" w:cs="Arial"/>
        </w:rPr>
        <w:t>25</w:t>
      </w:r>
      <w:r>
        <w:t>,</w:t>
      </w:r>
      <w:r>
        <w:rPr>
          <w:rFonts w:ascii="Arial" w:eastAsia="Arial" w:hAnsi="Arial" w:cs="Arial"/>
        </w:rPr>
        <w:t>0</w:t>
      </w:r>
      <w:r>
        <w:t xml:space="preserve"> m.</w:t>
      </w:r>
    </w:p>
    <w:p w:rsidR="002A0D61" w:rsidRDefault="00BF2516">
      <w:pPr>
        <w:numPr>
          <w:ilvl w:val="2"/>
          <w:numId w:val="19"/>
        </w:numPr>
        <w:ind w:hanging="570"/>
      </w:pPr>
      <w:r>
        <w:t xml:space="preserve">Wpusty dachowe powinny być osadzane w korytach. W korytach o przekroju trójkątnym i trapezowym podłoże wokół wpustu w promieniu min. </w:t>
      </w:r>
      <w:r>
        <w:rPr>
          <w:rFonts w:ascii="Arial" w:eastAsia="Arial" w:hAnsi="Arial" w:cs="Arial"/>
        </w:rPr>
        <w:t>25</w:t>
      </w:r>
      <w:r>
        <w:t xml:space="preserve"> cm od brzegu wpustu powinno być poziome – w celu osadzenia kołnierza wpustu.</w:t>
      </w:r>
    </w:p>
    <w:p w:rsidR="002A0D61" w:rsidRDefault="00BF2516">
      <w:pPr>
        <w:numPr>
          <w:ilvl w:val="2"/>
          <w:numId w:val="19"/>
        </w:numPr>
        <w:ind w:hanging="570"/>
      </w:pPr>
      <w:r>
        <w:t xml:space="preserve">Wpusty dachowe powinny być usytuowane w najniższych miejscach koryta. Niedopuszczalne jest sytuowanie wpustów dachowych w odległości mniejszej niż </w:t>
      </w:r>
      <w:r>
        <w:rPr>
          <w:rFonts w:ascii="Arial" w:eastAsia="Arial" w:hAnsi="Arial" w:cs="Arial"/>
        </w:rPr>
        <w:t>0,5</w:t>
      </w:r>
      <w:r>
        <w:t xml:space="preserve"> m od elementów </w:t>
      </w:r>
      <w:proofErr w:type="spellStart"/>
      <w:r>
        <w:t>ponaddachowych</w:t>
      </w:r>
      <w:proofErr w:type="spellEnd"/>
      <w:r>
        <w:t>.</w:t>
      </w:r>
    </w:p>
    <w:p w:rsidR="002A0D61" w:rsidRDefault="00BF2516">
      <w:pPr>
        <w:numPr>
          <w:ilvl w:val="2"/>
          <w:numId w:val="19"/>
        </w:numPr>
        <w:ind w:hanging="570"/>
      </w:pPr>
      <w:r>
        <w:t>Wloty wpustów dachowych powinny być zabezpieczone specjalnymi kołpakami ochronnymi nałożonymi na wpust przed możliwością zanieczyszczenia liśćmi lub innymi elementami mogącymi stać się przyczyną niedrożności rur spustowych.</w:t>
      </w:r>
    </w:p>
    <w:p w:rsidR="002A0D61" w:rsidRDefault="00BF2516">
      <w:pPr>
        <w:numPr>
          <w:ilvl w:val="2"/>
          <w:numId w:val="19"/>
        </w:numPr>
        <w:ind w:hanging="570"/>
      </w:pPr>
      <w:r>
        <w:t>Przekroje poprzeczne rynien dachowych, rur spustowych i wpustów dachowych powinny być dostosowane do wielkości odwadnianych powierzchni dachu (stropodachu).</w:t>
      </w:r>
    </w:p>
    <w:p w:rsidR="002A0D61" w:rsidRDefault="00BF2516">
      <w:pPr>
        <w:numPr>
          <w:ilvl w:val="2"/>
          <w:numId w:val="19"/>
        </w:numPr>
        <w:spacing w:after="0"/>
        <w:ind w:hanging="570"/>
      </w:pPr>
      <w:r>
        <w:lastRenderedPageBreak/>
        <w:t xml:space="preserve">Rynny i rury spustowe z blachy powinny odpowiadać wymaganiom podanym w PN-EN </w:t>
      </w:r>
      <w:r>
        <w:rPr>
          <w:rFonts w:ascii="Arial" w:eastAsia="Arial" w:hAnsi="Arial" w:cs="Arial"/>
        </w:rPr>
        <w:t>612</w:t>
      </w:r>
      <w:r>
        <w:t>:</w:t>
      </w:r>
      <w:r>
        <w:rPr>
          <w:rFonts w:ascii="Arial" w:eastAsia="Arial" w:hAnsi="Arial" w:cs="Arial"/>
        </w:rPr>
        <w:t>1999</w:t>
      </w:r>
      <w:r>
        <w:t xml:space="preserve">, uchwyty zaś do rynien i rur spustowych wymaganiom PN-EN </w:t>
      </w:r>
      <w:r>
        <w:rPr>
          <w:rFonts w:ascii="Arial" w:eastAsia="Arial" w:hAnsi="Arial" w:cs="Arial"/>
        </w:rPr>
        <w:t>1462</w:t>
      </w:r>
      <w:r>
        <w:t>:</w:t>
      </w:r>
      <w:r>
        <w:rPr>
          <w:rFonts w:ascii="Arial" w:eastAsia="Arial" w:hAnsi="Arial" w:cs="Arial"/>
        </w:rPr>
        <w:t>2001</w:t>
      </w:r>
      <w:r>
        <w:t>, PN-B-</w:t>
      </w:r>
      <w:r>
        <w:rPr>
          <w:rFonts w:ascii="Arial" w:eastAsia="Arial" w:hAnsi="Arial" w:cs="Arial"/>
        </w:rPr>
        <w:t>94701</w:t>
      </w:r>
      <w:r>
        <w:t>:</w:t>
      </w:r>
      <w:r>
        <w:rPr>
          <w:rFonts w:ascii="Arial" w:eastAsia="Arial" w:hAnsi="Arial" w:cs="Arial"/>
        </w:rPr>
        <w:t>1999</w:t>
      </w:r>
      <w:r>
        <w:t xml:space="preserve"> i PN-B-</w:t>
      </w:r>
      <w:r>
        <w:rPr>
          <w:rFonts w:ascii="Arial" w:eastAsia="Arial" w:hAnsi="Arial" w:cs="Arial"/>
        </w:rPr>
        <w:t>94702</w:t>
      </w:r>
      <w:r>
        <w:t>:</w:t>
      </w:r>
      <w:r>
        <w:rPr>
          <w:rFonts w:ascii="Arial" w:eastAsia="Arial" w:hAnsi="Arial" w:cs="Arial"/>
        </w:rPr>
        <w:t>1999</w:t>
      </w:r>
    </w:p>
    <w:p w:rsidR="002A0D61" w:rsidRDefault="00BF2516">
      <w:pPr>
        <w:numPr>
          <w:ilvl w:val="2"/>
          <w:numId w:val="19"/>
        </w:numPr>
        <w:spacing w:after="0"/>
        <w:ind w:hanging="570"/>
      </w:pPr>
      <w:r>
        <w:t xml:space="preserve">Rynny dachowe i elementy wyposażenia z PVC-U powinny odpowiadać wymaganiom w PN-EN </w:t>
      </w:r>
      <w:r>
        <w:rPr>
          <w:rFonts w:ascii="Arial" w:eastAsia="Arial" w:hAnsi="Arial" w:cs="Arial"/>
        </w:rPr>
        <w:t>607</w:t>
      </w:r>
      <w:r>
        <w:t>:</w:t>
      </w:r>
      <w:r>
        <w:rPr>
          <w:rFonts w:ascii="Arial" w:eastAsia="Arial" w:hAnsi="Arial" w:cs="Arial"/>
        </w:rPr>
        <w:t>1999</w:t>
      </w:r>
      <w:r>
        <w:t>.</w:t>
      </w:r>
      <w:r>
        <w:br w:type="page"/>
      </w:r>
    </w:p>
    <w:p w:rsidR="002A0D61" w:rsidRDefault="00BF2516">
      <w:r>
        <w:rPr>
          <w:rFonts w:ascii="Times New Roman" w:eastAsia="Times New Roman" w:hAnsi="Times New Roman" w:cs="Times New Roman"/>
        </w:rPr>
        <w:lastRenderedPageBreak/>
        <w:t>5.9.10.</w:t>
      </w:r>
      <w:r>
        <w:t>Rynny z blachy stalowej ocynkowanej powinny być:</w:t>
      </w:r>
    </w:p>
    <w:p w:rsidR="002A0D61" w:rsidRDefault="00BF2516">
      <w:pPr>
        <w:numPr>
          <w:ilvl w:val="3"/>
          <w:numId w:val="17"/>
        </w:numPr>
        <w:ind w:hanging="360"/>
      </w:pPr>
      <w:r>
        <w:t>wykonane z pojedynczych członów odpowiadających długości arkusza blachy i składane w elementy wieloczłonowe,</w:t>
      </w:r>
    </w:p>
    <w:p w:rsidR="002A0D61" w:rsidRDefault="00BF2516">
      <w:pPr>
        <w:numPr>
          <w:ilvl w:val="3"/>
          <w:numId w:val="17"/>
        </w:numPr>
        <w:ind w:hanging="360"/>
      </w:pPr>
      <w:r>
        <w:t xml:space="preserve">łączone w złączach poziomych na zakład szerokości </w:t>
      </w:r>
      <w:r>
        <w:rPr>
          <w:rFonts w:ascii="Arial" w:eastAsia="Arial" w:hAnsi="Arial" w:cs="Arial"/>
        </w:rPr>
        <w:t>40</w:t>
      </w:r>
      <w:r>
        <w:t xml:space="preserve"> mm; złącza powinny być lutowane na całej długości,</w:t>
      </w:r>
    </w:p>
    <w:p w:rsidR="002A0D61" w:rsidRDefault="00BF2516">
      <w:pPr>
        <w:numPr>
          <w:ilvl w:val="3"/>
          <w:numId w:val="17"/>
        </w:numPr>
        <w:ind w:hanging="360"/>
      </w:pPr>
      <w:r>
        <w:t xml:space="preserve">mocowane do uchwytów, rozstawionych w odstępach nie większych niż </w:t>
      </w:r>
      <w:r>
        <w:rPr>
          <w:rFonts w:ascii="Arial" w:eastAsia="Arial" w:hAnsi="Arial" w:cs="Arial"/>
        </w:rPr>
        <w:t>50</w:t>
      </w:r>
      <w:r>
        <w:t xml:space="preserve"> cm,</w:t>
      </w:r>
    </w:p>
    <w:p w:rsidR="002A0D61" w:rsidRDefault="00BF2516">
      <w:pPr>
        <w:numPr>
          <w:ilvl w:val="3"/>
          <w:numId w:val="17"/>
        </w:numPr>
        <w:ind w:hanging="360"/>
      </w:pPr>
      <w:r>
        <w:t>rynny powinny mieć wlutowane wpusty do rur spustowych.</w:t>
      </w:r>
    </w:p>
    <w:p w:rsidR="002A0D61" w:rsidRDefault="00BF2516">
      <w:r>
        <w:rPr>
          <w:rFonts w:ascii="Times New Roman" w:eastAsia="Times New Roman" w:hAnsi="Times New Roman" w:cs="Times New Roman"/>
        </w:rPr>
        <w:t>5.9.11.</w:t>
      </w:r>
      <w:r>
        <w:t>Rury spustowe z blachy stalowej ocynkowanej powinny być:</w:t>
      </w:r>
    </w:p>
    <w:p w:rsidR="002A0D61" w:rsidRDefault="00BF2516">
      <w:pPr>
        <w:numPr>
          <w:ilvl w:val="3"/>
          <w:numId w:val="18"/>
        </w:numPr>
        <w:ind w:hanging="360"/>
      </w:pPr>
      <w:r>
        <w:t>wykonane z pojedynczych członów odpowiadających długości arkusza blachy i składane w elementy wieloczłonowe,</w:t>
      </w:r>
    </w:p>
    <w:p w:rsidR="002A0D61" w:rsidRDefault="00BF2516">
      <w:pPr>
        <w:numPr>
          <w:ilvl w:val="3"/>
          <w:numId w:val="18"/>
        </w:numPr>
        <w:ind w:hanging="360"/>
      </w:pPr>
      <w:r>
        <w:t xml:space="preserve">łączone w złączach pionowych na rąbek pojedynczy leżący, a w złączach poziomych na zakład szerokości </w:t>
      </w:r>
      <w:r>
        <w:rPr>
          <w:rFonts w:ascii="Arial" w:eastAsia="Arial" w:hAnsi="Arial" w:cs="Arial"/>
        </w:rPr>
        <w:t xml:space="preserve">40 </w:t>
      </w:r>
      <w:r>
        <w:t>mm; złącza powinny być lutowane na całej długości,</w:t>
      </w:r>
    </w:p>
    <w:p w:rsidR="002A0D61" w:rsidRDefault="00BF2516">
      <w:pPr>
        <w:numPr>
          <w:ilvl w:val="3"/>
          <w:numId w:val="18"/>
        </w:numPr>
        <w:ind w:hanging="360"/>
      </w:pPr>
      <w:r>
        <w:t xml:space="preserve">mocowane do ścian uchwytami, rozstawionymi w odstępach nie większych niż </w:t>
      </w:r>
      <w:r>
        <w:rPr>
          <w:rFonts w:ascii="Arial" w:eastAsia="Arial" w:hAnsi="Arial" w:cs="Arial"/>
        </w:rPr>
        <w:t>3</w:t>
      </w:r>
      <w:r>
        <w:t xml:space="preserve"> m w sposób trwały przez wbicie trzpienia w spoiny muru lub osadzenie w zaprawie cementowej w wykutych gniazdach,</w:t>
      </w:r>
    </w:p>
    <w:p w:rsidR="002A0D61" w:rsidRDefault="00BF2516">
      <w:pPr>
        <w:numPr>
          <w:ilvl w:val="3"/>
          <w:numId w:val="18"/>
        </w:numPr>
        <w:spacing w:after="443"/>
        <w:ind w:hanging="360"/>
      </w:pPr>
      <w:r>
        <w:t>rury spustowe odprowadzające wodę do kanalizacji powinny być wpuszczone do rury żeliwnej na głębokość kielicha.</w:t>
      </w:r>
    </w:p>
    <w:p w:rsidR="002A0D61" w:rsidRDefault="00BF2516">
      <w:pPr>
        <w:numPr>
          <w:ilvl w:val="0"/>
          <w:numId w:val="21"/>
        </w:numPr>
        <w:spacing w:after="170"/>
        <w:ind w:right="-15" w:hanging="420"/>
        <w:jc w:val="left"/>
      </w:pPr>
      <w:r>
        <w:rPr>
          <w:b/>
        </w:rPr>
        <w:t>KONTROLA JAKOŚCI ROBÓT</w:t>
      </w:r>
    </w:p>
    <w:p w:rsidR="002A0D61" w:rsidRDefault="00BF2516">
      <w:pPr>
        <w:numPr>
          <w:ilvl w:val="1"/>
          <w:numId w:val="21"/>
        </w:numPr>
        <w:spacing w:after="79"/>
        <w:ind w:right="-15" w:hanging="570"/>
        <w:jc w:val="left"/>
      </w:pPr>
      <w:r>
        <w:rPr>
          <w:b/>
        </w:rPr>
        <w:t>Kontrola jakości robót polega na sprawdzeniu zgodności ich wykonania z wymaganiami</w:t>
      </w:r>
    </w:p>
    <w:p w:rsidR="002A0D61" w:rsidRDefault="00BF2516">
      <w:pPr>
        <w:spacing w:after="445"/>
        <w:ind w:left="580" w:right="-15"/>
        <w:jc w:val="left"/>
      </w:pPr>
      <w:r>
        <w:rPr>
          <w:b/>
        </w:rPr>
        <w:t>niniejszej specyfikacji</w:t>
      </w:r>
    </w:p>
    <w:p w:rsidR="002A0D61" w:rsidRDefault="00BF2516">
      <w:pPr>
        <w:numPr>
          <w:ilvl w:val="1"/>
          <w:numId w:val="21"/>
        </w:numPr>
        <w:spacing w:after="79"/>
        <w:ind w:right="-15" w:hanging="570"/>
        <w:jc w:val="left"/>
      </w:pPr>
      <w:r>
        <w:rPr>
          <w:b/>
        </w:rPr>
        <w:t>Kontrola wykonania podkładów pod pokrycia z blachy powinna być przeprowadzona przez</w:t>
      </w:r>
    </w:p>
    <w:p w:rsidR="002A0D61" w:rsidRDefault="00BF2516">
      <w:pPr>
        <w:spacing w:after="394"/>
        <w:ind w:left="580" w:right="-15"/>
        <w:jc w:val="left"/>
      </w:pPr>
      <w:r>
        <w:rPr>
          <w:b/>
        </w:rPr>
        <w:t>Inspektora nadzoru przed przystąpieniem do wykonania pokryć zgodnie z wymaganiami normy PN-</w:t>
      </w:r>
      <w:r>
        <w:rPr>
          <w:rFonts w:ascii="Arial" w:eastAsia="Arial" w:hAnsi="Arial" w:cs="Arial"/>
          <w:b/>
        </w:rPr>
        <w:t>80</w:t>
      </w:r>
      <w:r>
        <w:rPr>
          <w:b/>
        </w:rPr>
        <w:t>/B-</w:t>
      </w:r>
      <w:r>
        <w:rPr>
          <w:rFonts w:ascii="Arial" w:eastAsia="Arial" w:hAnsi="Arial" w:cs="Arial"/>
          <w:b/>
        </w:rPr>
        <w:t>10240</w:t>
      </w:r>
      <w:r>
        <w:rPr>
          <w:b/>
        </w:rPr>
        <w:t xml:space="preserve"> p. </w:t>
      </w:r>
      <w:r>
        <w:rPr>
          <w:rFonts w:ascii="Arial" w:eastAsia="Arial" w:hAnsi="Arial" w:cs="Arial"/>
          <w:b/>
        </w:rPr>
        <w:t>4</w:t>
      </w:r>
      <w:r>
        <w:rPr>
          <w:b/>
        </w:rPr>
        <w:t>.</w:t>
      </w:r>
      <w:r>
        <w:rPr>
          <w:rFonts w:ascii="Arial" w:eastAsia="Arial" w:hAnsi="Arial" w:cs="Arial"/>
          <w:b/>
        </w:rPr>
        <w:t>3</w:t>
      </w:r>
      <w:r>
        <w:rPr>
          <w:b/>
        </w:rPr>
        <w:t>.</w:t>
      </w:r>
      <w:r>
        <w:rPr>
          <w:rFonts w:ascii="Arial" w:eastAsia="Arial" w:hAnsi="Arial" w:cs="Arial"/>
          <w:b/>
        </w:rPr>
        <w:t>2</w:t>
      </w:r>
      <w:r>
        <w:rPr>
          <w:b/>
        </w:rPr>
        <w:t>.</w:t>
      </w:r>
    </w:p>
    <w:p w:rsidR="002A0D61" w:rsidRDefault="00BF2516">
      <w:pPr>
        <w:numPr>
          <w:ilvl w:val="1"/>
          <w:numId w:val="21"/>
        </w:numPr>
        <w:spacing w:after="170"/>
        <w:ind w:right="-15" w:hanging="570"/>
        <w:jc w:val="left"/>
      </w:pPr>
      <w:r>
        <w:rPr>
          <w:b/>
        </w:rPr>
        <w:t>Kontrola wykonania pokryć</w:t>
      </w:r>
    </w:p>
    <w:p w:rsidR="002A0D61" w:rsidRDefault="00BF2516">
      <w:pPr>
        <w:numPr>
          <w:ilvl w:val="2"/>
          <w:numId w:val="21"/>
        </w:numPr>
        <w:ind w:hanging="720"/>
      </w:pPr>
      <w:r>
        <w:t>Kontrola wykonania pokryć polega na sprawdzeniu zgodności ich wykonania z powołanymi normami przedmiotowymi i wymaganiami specyfikacji. Kontrola ta przeprowadzana jest przez Inspektora nadzoru:</w:t>
      </w:r>
    </w:p>
    <w:p w:rsidR="002A0D61" w:rsidRDefault="00BF2516">
      <w:pPr>
        <w:numPr>
          <w:ilvl w:val="3"/>
          <w:numId w:val="21"/>
        </w:numPr>
        <w:spacing w:after="170"/>
        <w:ind w:right="32" w:hanging="360"/>
        <w:jc w:val="right"/>
      </w:pPr>
      <w:r>
        <w:t>w odniesieniu do prac zanikających (kontrola międzyoperacyjna) – podczas wykonania prac pokrywczych,</w:t>
      </w:r>
    </w:p>
    <w:p w:rsidR="002A0D61" w:rsidRDefault="00BF2516">
      <w:pPr>
        <w:numPr>
          <w:ilvl w:val="3"/>
          <w:numId w:val="21"/>
        </w:numPr>
        <w:ind w:right="32" w:hanging="360"/>
        <w:jc w:val="right"/>
      </w:pPr>
      <w:r>
        <w:t>w odniesieniu do właściwości całego pokrycia (kontrola końcowa) – po zakończeniu prac pokrywczych.</w:t>
      </w:r>
    </w:p>
    <w:p w:rsidR="002A0D61" w:rsidRDefault="00BF2516">
      <w:pPr>
        <w:numPr>
          <w:ilvl w:val="2"/>
          <w:numId w:val="21"/>
        </w:numPr>
        <w:ind w:hanging="720"/>
      </w:pPr>
      <w:r>
        <w:t>Pokrycia z blachy</w:t>
      </w:r>
    </w:p>
    <w:p w:rsidR="002A0D61" w:rsidRDefault="00BF2516">
      <w:pPr>
        <w:numPr>
          <w:ilvl w:val="4"/>
          <w:numId w:val="22"/>
        </w:numPr>
        <w:ind w:hanging="404"/>
      </w:pPr>
      <w:r>
        <w:t>Kontrolą międzyoperacyjną i końcową dotycząca pokryć z blachy przeprowadza się sprawdzając zgodność wykonanych robót z wymaganiami norm: PN-</w:t>
      </w:r>
      <w:r>
        <w:rPr>
          <w:rFonts w:ascii="Arial" w:eastAsia="Arial" w:hAnsi="Arial" w:cs="Arial"/>
        </w:rPr>
        <w:t>61</w:t>
      </w:r>
      <w:r>
        <w:t>/B-</w:t>
      </w:r>
      <w:r>
        <w:rPr>
          <w:rFonts w:ascii="Arial" w:eastAsia="Arial" w:hAnsi="Arial" w:cs="Arial"/>
        </w:rPr>
        <w:t>10245</w:t>
      </w:r>
      <w:r>
        <w:t xml:space="preserve">, PN-EN </w:t>
      </w:r>
      <w:r>
        <w:rPr>
          <w:rFonts w:ascii="Arial" w:eastAsia="Arial" w:hAnsi="Arial" w:cs="Arial"/>
        </w:rPr>
        <w:t>501</w:t>
      </w:r>
      <w:r>
        <w:t>:</w:t>
      </w:r>
      <w:r>
        <w:rPr>
          <w:rFonts w:ascii="Arial" w:eastAsia="Arial" w:hAnsi="Arial" w:cs="Arial"/>
        </w:rPr>
        <w:t>1999</w:t>
      </w:r>
      <w:r>
        <w:t xml:space="preserve">, PN-EN </w:t>
      </w:r>
      <w:r>
        <w:rPr>
          <w:rFonts w:ascii="Arial" w:eastAsia="Arial" w:hAnsi="Arial" w:cs="Arial"/>
        </w:rPr>
        <w:t>506</w:t>
      </w:r>
      <w:r>
        <w:t>:</w:t>
      </w:r>
      <w:r>
        <w:rPr>
          <w:rFonts w:ascii="Arial" w:eastAsia="Arial" w:hAnsi="Arial" w:cs="Arial"/>
        </w:rPr>
        <w:t>2002</w:t>
      </w:r>
      <w:r>
        <w:t xml:space="preserve">, PN-EN </w:t>
      </w:r>
      <w:r>
        <w:rPr>
          <w:rFonts w:ascii="Arial" w:eastAsia="Arial" w:hAnsi="Arial" w:cs="Arial"/>
        </w:rPr>
        <w:t>502</w:t>
      </w:r>
      <w:r>
        <w:t>:</w:t>
      </w:r>
      <w:r>
        <w:rPr>
          <w:rFonts w:ascii="Arial" w:eastAsia="Arial" w:hAnsi="Arial" w:cs="Arial"/>
        </w:rPr>
        <w:t>2002</w:t>
      </w:r>
      <w:r>
        <w:t xml:space="preserve">, PN-EN </w:t>
      </w:r>
      <w:r>
        <w:rPr>
          <w:rFonts w:ascii="Arial" w:eastAsia="Arial" w:hAnsi="Arial" w:cs="Arial"/>
        </w:rPr>
        <w:t>504</w:t>
      </w:r>
      <w:r>
        <w:t>:</w:t>
      </w:r>
      <w:r>
        <w:rPr>
          <w:rFonts w:ascii="Arial" w:eastAsia="Arial" w:hAnsi="Arial" w:cs="Arial"/>
        </w:rPr>
        <w:t>2002</w:t>
      </w:r>
      <w:r>
        <w:t xml:space="preserve">, PN-EN </w:t>
      </w:r>
      <w:r>
        <w:rPr>
          <w:rFonts w:ascii="Arial" w:eastAsia="Arial" w:hAnsi="Arial" w:cs="Arial"/>
        </w:rPr>
        <w:t>505</w:t>
      </w:r>
      <w:r>
        <w:t>:</w:t>
      </w:r>
      <w:r>
        <w:rPr>
          <w:rFonts w:ascii="Arial" w:eastAsia="Arial" w:hAnsi="Arial" w:cs="Arial"/>
        </w:rPr>
        <w:t>2002</w:t>
      </w:r>
      <w:r>
        <w:t xml:space="preserve">, PN-EN </w:t>
      </w:r>
      <w:r>
        <w:rPr>
          <w:rFonts w:ascii="Arial" w:eastAsia="Arial" w:hAnsi="Arial" w:cs="Arial"/>
        </w:rPr>
        <w:t>507</w:t>
      </w:r>
      <w:r>
        <w:t>:</w:t>
      </w:r>
      <w:r>
        <w:rPr>
          <w:rFonts w:ascii="Arial" w:eastAsia="Arial" w:hAnsi="Arial" w:cs="Arial"/>
        </w:rPr>
        <w:t>2002</w:t>
      </w:r>
      <w:r>
        <w:t xml:space="preserve">, PN-EN </w:t>
      </w:r>
      <w:r>
        <w:rPr>
          <w:rFonts w:ascii="Arial" w:eastAsia="Arial" w:hAnsi="Arial" w:cs="Arial"/>
        </w:rPr>
        <w:t>508-1</w:t>
      </w:r>
      <w:r>
        <w:t>:</w:t>
      </w:r>
      <w:r>
        <w:rPr>
          <w:rFonts w:ascii="Arial" w:eastAsia="Arial" w:hAnsi="Arial" w:cs="Arial"/>
        </w:rPr>
        <w:t>2002</w:t>
      </w:r>
      <w:r>
        <w:t xml:space="preserve">, PN-EN </w:t>
      </w:r>
      <w:r>
        <w:rPr>
          <w:rFonts w:ascii="Arial" w:eastAsia="Arial" w:hAnsi="Arial" w:cs="Arial"/>
        </w:rPr>
        <w:t>508-2</w:t>
      </w:r>
      <w:r>
        <w:t>:</w:t>
      </w:r>
      <w:r>
        <w:rPr>
          <w:rFonts w:ascii="Arial" w:eastAsia="Arial" w:hAnsi="Arial" w:cs="Arial"/>
        </w:rPr>
        <w:t>2002</w:t>
      </w:r>
      <w:r>
        <w:t xml:space="preserve">, PN-EN </w:t>
      </w:r>
      <w:r>
        <w:rPr>
          <w:rFonts w:ascii="Arial" w:eastAsia="Arial" w:hAnsi="Arial" w:cs="Arial"/>
        </w:rPr>
        <w:t>508-3</w:t>
      </w:r>
      <w:r>
        <w:t>:</w:t>
      </w:r>
      <w:r>
        <w:rPr>
          <w:rFonts w:ascii="Arial" w:eastAsia="Arial" w:hAnsi="Arial" w:cs="Arial"/>
        </w:rPr>
        <w:t>2000</w:t>
      </w:r>
      <w:r>
        <w:t xml:space="preserve"> oraz z wymaganiami niniejszej specyfikacji technicznej.</w:t>
      </w:r>
    </w:p>
    <w:p w:rsidR="002A0D61" w:rsidRDefault="00BF2516">
      <w:pPr>
        <w:numPr>
          <w:ilvl w:val="4"/>
          <w:numId w:val="22"/>
        </w:numPr>
        <w:spacing w:after="531"/>
        <w:ind w:hanging="404"/>
      </w:pPr>
      <w:r>
        <w:t>Uznaje się, że badania dały wynik pozytywny gdy wszystkie właściwości materiałów i pokrycia dachowego są zgodne z wymaganiami niniejszej specyfikacji technicznej lub aprobaty technicznej albo wymaganiami norm przedmiotowych.</w:t>
      </w:r>
    </w:p>
    <w:p w:rsidR="002A0D61" w:rsidRDefault="00BF2516">
      <w:pPr>
        <w:numPr>
          <w:ilvl w:val="0"/>
          <w:numId w:val="21"/>
        </w:numPr>
        <w:spacing w:after="170"/>
        <w:ind w:right="-15" w:hanging="420"/>
        <w:jc w:val="left"/>
      </w:pPr>
      <w:r>
        <w:rPr>
          <w:b/>
        </w:rPr>
        <w:lastRenderedPageBreak/>
        <w:t>OBMIAR ROBÓT</w:t>
      </w:r>
    </w:p>
    <w:p w:rsidR="002A0D61" w:rsidRDefault="00BF2516">
      <w:pPr>
        <w:numPr>
          <w:ilvl w:val="1"/>
          <w:numId w:val="21"/>
        </w:numPr>
        <w:spacing w:after="170"/>
        <w:ind w:right="-15" w:hanging="570"/>
        <w:jc w:val="left"/>
      </w:pPr>
      <w:r>
        <w:rPr>
          <w:b/>
        </w:rPr>
        <w:t>Jednostką obmiarową robót jest:</w:t>
      </w:r>
    </w:p>
    <w:p w:rsidR="002A0D61" w:rsidRDefault="00BF2516">
      <w:pPr>
        <w:numPr>
          <w:ilvl w:val="0"/>
          <w:numId w:val="23"/>
        </w:numPr>
        <w:ind w:hanging="286"/>
      </w:pPr>
      <w:r>
        <w:t>dla robót – Krycie dachu blachą i Obróbki blacharskie – m</w:t>
      </w:r>
      <w:r>
        <w:rPr>
          <w:rFonts w:ascii="Arial" w:eastAsia="Arial" w:hAnsi="Arial" w:cs="Arial"/>
          <w:sz w:val="15"/>
          <w:vertAlign w:val="superscript"/>
        </w:rPr>
        <w:t>2</w:t>
      </w:r>
      <w:r>
        <w:t xml:space="preserve"> pokrytej powierzchni. Z powierzchni nie potrąca się urządzeń obcych, jak np. wywiewki itp. o ile powierzchnia ich nie przekracza </w:t>
      </w:r>
      <w:r>
        <w:rPr>
          <w:rFonts w:ascii="Arial" w:eastAsia="Arial" w:hAnsi="Arial" w:cs="Arial"/>
        </w:rPr>
        <w:t>0,50</w:t>
      </w:r>
      <w:r>
        <w:t xml:space="preserve"> m</w:t>
      </w:r>
      <w:r>
        <w:rPr>
          <w:rFonts w:ascii="Arial" w:eastAsia="Arial" w:hAnsi="Arial" w:cs="Arial"/>
          <w:sz w:val="15"/>
          <w:vertAlign w:val="superscript"/>
        </w:rPr>
        <w:t>2</w:t>
      </w:r>
      <w:r>
        <w:t>,</w:t>
      </w:r>
    </w:p>
    <w:p w:rsidR="002A0D61" w:rsidRDefault="00BF2516">
      <w:pPr>
        <w:numPr>
          <w:ilvl w:val="0"/>
          <w:numId w:val="23"/>
        </w:numPr>
        <w:spacing w:after="0"/>
        <w:ind w:hanging="286"/>
      </w:pPr>
      <w:r>
        <w:t xml:space="preserve">dla robót – Rynny i rury spustowe – </w:t>
      </w:r>
      <w:r>
        <w:rPr>
          <w:rFonts w:ascii="Arial" w:eastAsia="Arial" w:hAnsi="Arial" w:cs="Arial"/>
        </w:rPr>
        <w:t>1</w:t>
      </w:r>
      <w:r>
        <w:t xml:space="preserve"> m wykonanych rynien lub rur spustowych.</w:t>
      </w:r>
    </w:p>
    <w:p w:rsidR="002A0D61" w:rsidRDefault="00BF2516">
      <w:pPr>
        <w:spacing w:after="441" w:line="280" w:lineRule="auto"/>
        <w:ind w:left="570" w:right="0" w:hanging="570"/>
      </w:pPr>
      <w:r>
        <w:rPr>
          <w:rFonts w:ascii="Times New Roman" w:eastAsia="Times New Roman" w:hAnsi="Times New Roman" w:cs="Times New Roman"/>
        </w:rPr>
        <w:t xml:space="preserve">7.2. </w:t>
      </w:r>
      <w:r>
        <w:rPr>
          <w:b/>
        </w:rPr>
        <w:t>Ilość robót określa się na podstawie dokumentacji projektowej z uwzględnieniem zmian podanych w dokumentacji powykonawczej zaaprobowanych przez Inspektora nadzoru i sprawdzonych w naturze</w:t>
      </w:r>
    </w:p>
    <w:p w:rsidR="002A0D61" w:rsidRDefault="00BF2516">
      <w:pPr>
        <w:numPr>
          <w:ilvl w:val="0"/>
          <w:numId w:val="24"/>
        </w:numPr>
        <w:spacing w:after="170"/>
        <w:ind w:right="-15" w:hanging="570"/>
        <w:jc w:val="left"/>
      </w:pPr>
      <w:r>
        <w:rPr>
          <w:b/>
        </w:rPr>
        <w:t>ODBIÓR ROBÓT</w:t>
      </w:r>
    </w:p>
    <w:p w:rsidR="002A0D61" w:rsidRDefault="00BF2516">
      <w:pPr>
        <w:numPr>
          <w:ilvl w:val="1"/>
          <w:numId w:val="24"/>
        </w:numPr>
        <w:spacing w:after="390"/>
        <w:ind w:right="-15" w:hanging="720"/>
        <w:jc w:val="left"/>
      </w:pPr>
      <w:r>
        <w:rPr>
          <w:b/>
        </w:rPr>
        <w:t>Podstawę do odbioru wykonania robót – pokrycie dachu blachą stanowi stwierdzenie zgodności ich wykonania z dokumentacją projektową i zatwierdzonymi zmianami podanymi w dokumentacji powykonawczej</w:t>
      </w:r>
    </w:p>
    <w:p w:rsidR="002A0D61" w:rsidRDefault="00BF2516">
      <w:pPr>
        <w:numPr>
          <w:ilvl w:val="1"/>
          <w:numId w:val="24"/>
        </w:numPr>
        <w:spacing w:after="170"/>
        <w:ind w:right="-15" w:hanging="720"/>
        <w:jc w:val="left"/>
      </w:pPr>
      <w:r>
        <w:rPr>
          <w:b/>
        </w:rPr>
        <w:t>Odbiór podkładu</w:t>
      </w:r>
    </w:p>
    <w:p w:rsidR="002A0D61" w:rsidRDefault="00BF2516">
      <w:pPr>
        <w:ind w:left="555" w:hanging="570"/>
      </w:pPr>
      <w:r>
        <w:rPr>
          <w:rFonts w:ascii="Times New Roman" w:eastAsia="Times New Roman" w:hAnsi="Times New Roman" w:cs="Times New Roman"/>
        </w:rPr>
        <w:t xml:space="preserve">8.1.1. </w:t>
      </w:r>
      <w:r>
        <w:t>Badania podkładu należy przeprowadzić w trakcie odbioru częściowego, podczas suchej pogody, przed przystąpieniem do pokrycia połaci dachowych.</w:t>
      </w:r>
    </w:p>
    <w:p w:rsidR="002A0D61" w:rsidRDefault="00BF2516">
      <w:pPr>
        <w:spacing w:after="442"/>
        <w:ind w:left="555" w:hanging="570"/>
      </w:pPr>
      <w:r>
        <w:rPr>
          <w:rFonts w:ascii="Times New Roman" w:eastAsia="Times New Roman" w:hAnsi="Times New Roman" w:cs="Times New Roman"/>
        </w:rPr>
        <w:t xml:space="preserve">8.2.2. </w:t>
      </w:r>
      <w:r>
        <w:t xml:space="preserve">Sprawdzenie równości powierzchni podkładu należy przeprowadzać za pomocą łaty kontrolnej o długości </w:t>
      </w:r>
      <w:r>
        <w:rPr>
          <w:rFonts w:ascii="Arial" w:eastAsia="Arial" w:hAnsi="Arial" w:cs="Arial"/>
        </w:rPr>
        <w:t xml:space="preserve">3 </w:t>
      </w:r>
      <w:r>
        <w:t xml:space="preserve">m lub za pomocą szablonu z podziałką milimetrową. Prześwit między sprawdzaną powierzchnią a łatą nie powinien przekroczyć </w:t>
      </w:r>
      <w:r>
        <w:rPr>
          <w:rFonts w:ascii="Arial" w:eastAsia="Arial" w:hAnsi="Arial" w:cs="Arial"/>
        </w:rPr>
        <w:t>5</w:t>
      </w:r>
      <w:r>
        <w:t xml:space="preserve"> mm, w kierunku prostopadłym do spodku i </w:t>
      </w:r>
      <w:r>
        <w:rPr>
          <w:rFonts w:ascii="Arial" w:eastAsia="Arial" w:hAnsi="Arial" w:cs="Arial"/>
        </w:rPr>
        <w:t>10</w:t>
      </w:r>
      <w:r>
        <w:t xml:space="preserve"> mm w kierunku równoległym do spadku.</w:t>
      </w:r>
    </w:p>
    <w:p w:rsidR="002A0D61" w:rsidRDefault="00BF2516">
      <w:pPr>
        <w:numPr>
          <w:ilvl w:val="1"/>
          <w:numId w:val="24"/>
        </w:numPr>
        <w:spacing w:after="170"/>
        <w:ind w:right="-15" w:hanging="720"/>
        <w:jc w:val="left"/>
      </w:pPr>
      <w:r>
        <w:rPr>
          <w:b/>
        </w:rPr>
        <w:t>Ogólne wymagania odbioru robót pokrywczych</w:t>
      </w:r>
    </w:p>
    <w:p w:rsidR="002A0D61" w:rsidRDefault="00BF2516">
      <w:pPr>
        <w:numPr>
          <w:ilvl w:val="2"/>
          <w:numId w:val="24"/>
        </w:numPr>
        <w:ind w:hanging="570"/>
      </w:pPr>
      <w:r>
        <w:t>Roboty pokrywcze, jako roboty zanikające, wymagają odbiorów częściowych. Badania w czasie odbioru częściowego należy przeprowadzać dla tych robót, do których dostęp później jest niemożliwy lub utrudniony.</w:t>
      </w:r>
    </w:p>
    <w:p w:rsidR="002A0D61" w:rsidRDefault="00BF2516">
      <w:pPr>
        <w:numPr>
          <w:ilvl w:val="2"/>
          <w:numId w:val="24"/>
        </w:numPr>
        <w:ind w:hanging="570"/>
      </w:pPr>
      <w:r>
        <w:t>Odbiór częściowy powinien obejmować sprawdzenie:</w:t>
      </w:r>
    </w:p>
    <w:p w:rsidR="002A0D61" w:rsidRDefault="00BF2516">
      <w:pPr>
        <w:numPr>
          <w:ilvl w:val="4"/>
          <w:numId w:val="25"/>
        </w:numPr>
        <w:ind w:hanging="360"/>
      </w:pPr>
      <w:r>
        <w:t>podkładu,</w:t>
      </w:r>
    </w:p>
    <w:p w:rsidR="002A0D61" w:rsidRDefault="00BF2516">
      <w:pPr>
        <w:numPr>
          <w:ilvl w:val="4"/>
          <w:numId w:val="25"/>
        </w:numPr>
        <w:ind w:hanging="360"/>
      </w:pPr>
      <w:r>
        <w:t>jakości zastosowanych materiałów,</w:t>
      </w:r>
    </w:p>
    <w:p w:rsidR="002A0D61" w:rsidRDefault="00BF2516">
      <w:pPr>
        <w:numPr>
          <w:ilvl w:val="4"/>
          <w:numId w:val="25"/>
        </w:numPr>
        <w:ind w:hanging="360"/>
      </w:pPr>
      <w:r>
        <w:t>dokładności wykonania pokrycia,</w:t>
      </w:r>
    </w:p>
    <w:p w:rsidR="002A0D61" w:rsidRDefault="00BF2516">
      <w:pPr>
        <w:numPr>
          <w:ilvl w:val="4"/>
          <w:numId w:val="25"/>
        </w:numPr>
        <w:ind w:hanging="360"/>
      </w:pPr>
      <w:r>
        <w:t>dokładności wykonania obróbek blacharskich i ich połączenia z pokryciem.</w:t>
      </w:r>
    </w:p>
    <w:p w:rsidR="002A0D61" w:rsidRDefault="00BF2516">
      <w:pPr>
        <w:numPr>
          <w:ilvl w:val="2"/>
          <w:numId w:val="24"/>
        </w:numPr>
        <w:ind w:hanging="570"/>
      </w:pPr>
      <w:r>
        <w:t>Dokonanie odbioru częściowego powinno być potwierdzone wpisem do dziennika budowy.</w:t>
      </w:r>
    </w:p>
    <w:p w:rsidR="002A0D61" w:rsidRDefault="00BF2516">
      <w:pPr>
        <w:numPr>
          <w:ilvl w:val="2"/>
          <w:numId w:val="24"/>
        </w:numPr>
        <w:ind w:hanging="570"/>
      </w:pPr>
      <w:r>
        <w:t>Badania końcowe pokrycia należy przeprowadzić po zakończeniu robót, po deszczu.</w:t>
      </w:r>
    </w:p>
    <w:p w:rsidR="002A0D61" w:rsidRDefault="00BF2516">
      <w:pPr>
        <w:numPr>
          <w:ilvl w:val="2"/>
          <w:numId w:val="24"/>
        </w:numPr>
        <w:ind w:hanging="570"/>
      </w:pPr>
      <w:r>
        <w:t>Podstawę do odbioru robót pokrywczych stanowią następujące dokumenty</w:t>
      </w:r>
      <w:r>
        <w:rPr>
          <w:rFonts w:ascii="Arial" w:eastAsia="Arial" w:hAnsi="Arial" w:cs="Arial"/>
        </w:rPr>
        <w:t>:</w:t>
      </w:r>
    </w:p>
    <w:p w:rsidR="002A0D61" w:rsidRDefault="00BF2516">
      <w:pPr>
        <w:numPr>
          <w:ilvl w:val="4"/>
          <w:numId w:val="26"/>
        </w:numPr>
        <w:ind w:hanging="360"/>
      </w:pPr>
      <w:r>
        <w:t>dokumentacja projektowa i dokumentacja powykonawcza,</w:t>
      </w:r>
    </w:p>
    <w:p w:rsidR="002A0D61" w:rsidRDefault="00BF2516">
      <w:pPr>
        <w:numPr>
          <w:ilvl w:val="4"/>
          <w:numId w:val="26"/>
        </w:numPr>
        <w:ind w:hanging="360"/>
      </w:pPr>
      <w:r>
        <w:t>dziennik budowy z zapisem stwierdzającym odbiór częściowy podłoża oraz poszczególnych warstw lub fragmentów pokrycia,</w:t>
      </w:r>
    </w:p>
    <w:p w:rsidR="002A0D61" w:rsidRDefault="00BF2516">
      <w:pPr>
        <w:numPr>
          <w:ilvl w:val="4"/>
          <w:numId w:val="26"/>
        </w:numPr>
        <w:ind w:hanging="360"/>
      </w:pPr>
      <w:r>
        <w:t>zapisy dotyczące wykonywania robót pokrywczych i rodzaju zastosowanych materiałów,</w:t>
      </w:r>
    </w:p>
    <w:p w:rsidR="002A0D61" w:rsidRDefault="00BF2516">
      <w:pPr>
        <w:numPr>
          <w:ilvl w:val="4"/>
          <w:numId w:val="26"/>
        </w:numPr>
        <w:ind w:hanging="360"/>
      </w:pPr>
      <w:r>
        <w:t>protokoły odbioru materiałów i wyrobów, które powinny zawierać:</w:t>
      </w:r>
    </w:p>
    <w:p w:rsidR="002A0D61" w:rsidRDefault="00BF2516">
      <w:pPr>
        <w:numPr>
          <w:ilvl w:val="3"/>
          <w:numId w:val="24"/>
        </w:numPr>
        <w:ind w:hanging="286"/>
      </w:pPr>
      <w:r>
        <w:t>zestawienie wyników badań międzyoperacyjnych i końcowych,</w:t>
      </w:r>
    </w:p>
    <w:p w:rsidR="002A0D61" w:rsidRDefault="00BF2516">
      <w:pPr>
        <w:numPr>
          <w:ilvl w:val="3"/>
          <w:numId w:val="24"/>
        </w:numPr>
        <w:ind w:hanging="286"/>
      </w:pPr>
      <w:r>
        <w:t>stwierdzenie zgodności lub niezgodności wykonania robót pokrywczych z dokumentacją,</w:t>
      </w:r>
    </w:p>
    <w:p w:rsidR="002A0D61" w:rsidRDefault="00BF2516">
      <w:pPr>
        <w:numPr>
          <w:ilvl w:val="3"/>
          <w:numId w:val="24"/>
        </w:numPr>
        <w:ind w:hanging="286"/>
      </w:pPr>
      <w:r>
        <w:lastRenderedPageBreak/>
        <w:t>spis dokumentacji przekazywanej inwestorowi. W skład tej dokumentacji powinien wchodzić program utrzymania pokrycia.</w:t>
      </w:r>
    </w:p>
    <w:p w:rsidR="002A0D61" w:rsidRDefault="00BF2516">
      <w:pPr>
        <w:numPr>
          <w:ilvl w:val="2"/>
          <w:numId w:val="24"/>
        </w:numPr>
        <w:ind w:hanging="570"/>
      </w:pPr>
      <w:r>
        <w:t>Odbiór końcowy polega na dokładnym sprawdzeniu stanu wykonanego pokrycia i obróbek blacharskich i połączenia ich z urządzeniami odwadniającymi, a także wykonania na pokryciu ewentualnych zabezpieczeń eksploatacyjnych.</w:t>
      </w:r>
    </w:p>
    <w:p w:rsidR="002A0D61" w:rsidRDefault="00BF2516">
      <w:pPr>
        <w:numPr>
          <w:ilvl w:val="2"/>
          <w:numId w:val="24"/>
        </w:numPr>
        <w:ind w:hanging="570"/>
      </w:pPr>
      <w:r>
        <w:t xml:space="preserve">Roboty uznaje się za zgodne z dokumentacją projektową, SST i wymaganiami Inspektora nadzoru, jeżeli wszystkie pomiary i badania z zachowaniem tolerancji wg pkt. </w:t>
      </w:r>
      <w:r>
        <w:rPr>
          <w:rFonts w:ascii="Arial" w:eastAsia="Arial" w:hAnsi="Arial" w:cs="Arial"/>
        </w:rPr>
        <w:t>6</w:t>
      </w:r>
      <w:r>
        <w:t xml:space="preserve"> ST dały pozytywne wyniki.</w:t>
      </w:r>
    </w:p>
    <w:p w:rsidR="002A0D61" w:rsidRDefault="00BF2516">
      <w:pPr>
        <w:spacing w:after="0"/>
        <w:ind w:left="296"/>
      </w:pPr>
      <w:r>
        <w:t>Jeżeli chociaż jeden wynik badania daje wynik negatywny, pokrycie papowe nie powinno być odebrane.</w:t>
      </w:r>
    </w:p>
    <w:p w:rsidR="002A0D61" w:rsidRDefault="00BF2516">
      <w:r>
        <w:t>W takim przypadku należy przyjąć jedno z następujących rozwiązań:</w:t>
      </w:r>
    </w:p>
    <w:p w:rsidR="002A0D61" w:rsidRDefault="00BF2516">
      <w:pPr>
        <w:numPr>
          <w:ilvl w:val="0"/>
          <w:numId w:val="27"/>
        </w:numPr>
        <w:ind w:hanging="286"/>
      </w:pPr>
      <w:r>
        <w:t>poprawić i przedstawić do ponownego odbioru,</w:t>
      </w:r>
    </w:p>
    <w:p w:rsidR="002A0D61" w:rsidRDefault="00BF2516">
      <w:pPr>
        <w:numPr>
          <w:ilvl w:val="0"/>
          <w:numId w:val="27"/>
        </w:numPr>
        <w:ind w:hanging="286"/>
      </w:pPr>
      <w:r>
        <w:t>jeżeli odchylenia od wymagań nie zagrażają bezpieczeństwu użytkowania i trwałości pokrycia, obniżyć cenę pokrycia,</w:t>
      </w:r>
    </w:p>
    <w:p w:rsidR="002A0D61" w:rsidRDefault="00BF2516">
      <w:pPr>
        <w:numPr>
          <w:ilvl w:val="0"/>
          <w:numId w:val="27"/>
        </w:numPr>
        <w:spacing w:after="440"/>
        <w:ind w:hanging="286"/>
      </w:pPr>
      <w:r>
        <w:t>w przypadku gdy nie są możliwe podane rozwiązania – rozebrać pokrycie (miejsc nie odpowiadających ST) i ponownie wykonać roboty pokrywcze.</w:t>
      </w:r>
    </w:p>
    <w:p w:rsidR="002A0D61" w:rsidRDefault="00BF2516">
      <w:pPr>
        <w:spacing w:after="170"/>
        <w:ind w:right="-15"/>
        <w:jc w:val="left"/>
      </w:pPr>
      <w:r>
        <w:rPr>
          <w:rFonts w:ascii="Times New Roman" w:eastAsia="Times New Roman" w:hAnsi="Times New Roman" w:cs="Times New Roman"/>
        </w:rPr>
        <w:t>8.4.</w:t>
      </w:r>
      <w:r>
        <w:rPr>
          <w:rFonts w:ascii="Times New Roman" w:eastAsia="Times New Roman" w:hAnsi="Times New Roman" w:cs="Times New Roman"/>
        </w:rPr>
        <w:tab/>
      </w:r>
      <w:r>
        <w:rPr>
          <w:b/>
        </w:rPr>
        <w:t>Odbiór pokrycia z blachy</w:t>
      </w:r>
    </w:p>
    <w:p w:rsidR="002A0D61" w:rsidRDefault="00BF2516">
      <w:pPr>
        <w:numPr>
          <w:ilvl w:val="2"/>
          <w:numId w:val="28"/>
        </w:numPr>
        <w:ind w:hanging="570"/>
      </w:pPr>
      <w:r>
        <w:t>Sprawdzenie wyglądu zewnętrznego pokrycia (nie ma dziur, pęknięć, odchylenia rąbków lub zwojów od linii prostej, złącza są prostopadłe do okapu itp.).</w:t>
      </w:r>
    </w:p>
    <w:p w:rsidR="002A0D61" w:rsidRDefault="00BF2516">
      <w:pPr>
        <w:numPr>
          <w:ilvl w:val="2"/>
          <w:numId w:val="28"/>
        </w:numPr>
        <w:ind w:hanging="570"/>
      </w:pPr>
      <w:r>
        <w:t>Sprawdzenie umocowania i rozstawienia żabek i łapek.</w:t>
      </w:r>
    </w:p>
    <w:p w:rsidR="002A0D61" w:rsidRDefault="00BF2516">
      <w:pPr>
        <w:numPr>
          <w:ilvl w:val="2"/>
          <w:numId w:val="28"/>
        </w:numPr>
        <w:ind w:hanging="570"/>
      </w:pPr>
      <w:r>
        <w:t>Sprawdzenie łączenia i umocowania arkuszy.</w:t>
      </w:r>
    </w:p>
    <w:p w:rsidR="002A0D61" w:rsidRDefault="00BF2516">
      <w:pPr>
        <w:numPr>
          <w:ilvl w:val="2"/>
          <w:numId w:val="28"/>
        </w:numPr>
        <w:spacing w:after="445"/>
        <w:ind w:hanging="570"/>
      </w:pPr>
      <w:r>
        <w:t xml:space="preserve">Sprawdzenie wykonania i umocowania pasów usztywniających.  </w:t>
      </w:r>
    </w:p>
    <w:p w:rsidR="002A0D61" w:rsidRDefault="00BF2516">
      <w:pPr>
        <w:spacing w:after="170"/>
        <w:ind w:right="-15"/>
        <w:jc w:val="left"/>
      </w:pPr>
      <w:r>
        <w:rPr>
          <w:rFonts w:ascii="Times New Roman" w:eastAsia="Times New Roman" w:hAnsi="Times New Roman" w:cs="Times New Roman"/>
        </w:rPr>
        <w:t>8.5.</w:t>
      </w:r>
      <w:r>
        <w:rPr>
          <w:rFonts w:ascii="Times New Roman" w:eastAsia="Times New Roman" w:hAnsi="Times New Roman" w:cs="Times New Roman"/>
        </w:rPr>
        <w:tab/>
      </w:r>
      <w:r>
        <w:rPr>
          <w:b/>
        </w:rPr>
        <w:t>Odbiór obróbek blacharskich, rynien i rur spustowych powinien obejmować:</w:t>
      </w:r>
    </w:p>
    <w:p w:rsidR="002A0D61" w:rsidRDefault="00BF2516">
      <w:pPr>
        <w:numPr>
          <w:ilvl w:val="2"/>
          <w:numId w:val="29"/>
        </w:numPr>
        <w:ind w:hanging="570"/>
      </w:pPr>
      <w:r>
        <w:t>Sprawdzenie prawidłowości połączeń poziomych i pionowych.</w:t>
      </w:r>
    </w:p>
    <w:p w:rsidR="002A0D61" w:rsidRDefault="00BF2516">
      <w:pPr>
        <w:numPr>
          <w:ilvl w:val="2"/>
          <w:numId w:val="29"/>
        </w:numPr>
        <w:ind w:hanging="570"/>
      </w:pPr>
      <w:r>
        <w:t>Sprawdzenie mocowania elementów do deskowania, ścian, kominów, wietrzników, włazów itp.</w:t>
      </w:r>
    </w:p>
    <w:p w:rsidR="002A0D61" w:rsidRDefault="00BF2516">
      <w:pPr>
        <w:numPr>
          <w:ilvl w:val="2"/>
          <w:numId w:val="29"/>
        </w:numPr>
        <w:ind w:hanging="570"/>
      </w:pPr>
      <w:r>
        <w:t>Sprawdzenie prawidłowości spadków rynien.</w:t>
      </w:r>
    </w:p>
    <w:p w:rsidR="002A0D61" w:rsidRDefault="00BF2516">
      <w:pPr>
        <w:numPr>
          <w:ilvl w:val="2"/>
          <w:numId w:val="29"/>
        </w:numPr>
        <w:spacing w:after="439"/>
        <w:ind w:hanging="570"/>
      </w:pPr>
      <w:r>
        <w:t>Sprawdzenie szczelności połączeń rur spustowych z przewodami kanalizacyjnymi. Rury spustowe mogą być montowane po sprawdzeniu drożności przewodów kanalizacyjnych.</w:t>
      </w:r>
    </w:p>
    <w:p w:rsidR="002A0D61" w:rsidRDefault="00BF2516">
      <w:pPr>
        <w:spacing w:after="170"/>
        <w:ind w:right="-15"/>
        <w:jc w:val="left"/>
      </w:pPr>
      <w:r>
        <w:rPr>
          <w:rFonts w:ascii="Times New Roman" w:eastAsia="Times New Roman" w:hAnsi="Times New Roman" w:cs="Times New Roman"/>
        </w:rPr>
        <w:t>8.6.</w:t>
      </w:r>
      <w:r>
        <w:rPr>
          <w:rFonts w:ascii="Times New Roman" w:eastAsia="Times New Roman" w:hAnsi="Times New Roman" w:cs="Times New Roman"/>
        </w:rPr>
        <w:tab/>
      </w:r>
      <w:r>
        <w:rPr>
          <w:b/>
        </w:rPr>
        <w:t>Zakończenie odbioru</w:t>
      </w:r>
    </w:p>
    <w:p w:rsidR="002A0D61" w:rsidRDefault="00BF2516">
      <w:r>
        <w:rPr>
          <w:rFonts w:ascii="Times New Roman" w:eastAsia="Times New Roman" w:hAnsi="Times New Roman" w:cs="Times New Roman"/>
        </w:rPr>
        <w:t xml:space="preserve">8.6.1. </w:t>
      </w:r>
      <w:r>
        <w:t>Odbioru pokrycia blachą potwierdza się: protokołem, który powinien zawierać:</w:t>
      </w:r>
    </w:p>
    <w:p w:rsidR="002A0D61" w:rsidRDefault="00BF2516">
      <w:pPr>
        <w:numPr>
          <w:ilvl w:val="0"/>
          <w:numId w:val="27"/>
        </w:numPr>
        <w:ind w:hanging="286"/>
      </w:pPr>
      <w:r>
        <w:t>ocenę wyników badań,</w:t>
      </w:r>
    </w:p>
    <w:p w:rsidR="002A0D61" w:rsidRDefault="00BF2516">
      <w:pPr>
        <w:numPr>
          <w:ilvl w:val="0"/>
          <w:numId w:val="27"/>
        </w:numPr>
        <w:ind w:hanging="286"/>
      </w:pPr>
      <w:r>
        <w:t>wykaz wad i usterek ze wskazaniem możliwości ich usunięcia,</w:t>
      </w:r>
    </w:p>
    <w:p w:rsidR="002A0D61" w:rsidRDefault="00BF2516">
      <w:pPr>
        <w:numPr>
          <w:ilvl w:val="0"/>
          <w:numId w:val="27"/>
        </w:numPr>
        <w:spacing w:after="536"/>
        <w:ind w:hanging="286"/>
      </w:pPr>
      <w:r>
        <w:t>stwierdzenie zgodności lub niezgodności wykonania z zamówieniem.</w:t>
      </w:r>
    </w:p>
    <w:p w:rsidR="002A0D61" w:rsidRDefault="00BF2516">
      <w:pPr>
        <w:numPr>
          <w:ilvl w:val="0"/>
          <w:numId w:val="30"/>
        </w:numPr>
        <w:spacing w:after="170"/>
        <w:ind w:right="-15" w:hanging="286"/>
        <w:jc w:val="left"/>
      </w:pPr>
      <w:r>
        <w:rPr>
          <w:b/>
        </w:rPr>
        <w:t>PODSTAWA PŁATNOŚCI</w:t>
      </w:r>
    </w:p>
    <w:p w:rsidR="002A0D61" w:rsidRDefault="00BF2516">
      <w:pPr>
        <w:spacing w:after="170"/>
        <w:ind w:right="-15"/>
        <w:jc w:val="left"/>
      </w:pPr>
      <w:r>
        <w:rPr>
          <w:rFonts w:ascii="Times New Roman" w:eastAsia="Times New Roman" w:hAnsi="Times New Roman" w:cs="Times New Roman"/>
        </w:rPr>
        <w:t>9.1.</w:t>
      </w:r>
      <w:r>
        <w:rPr>
          <w:rFonts w:ascii="Times New Roman" w:eastAsia="Times New Roman" w:hAnsi="Times New Roman" w:cs="Times New Roman"/>
        </w:rPr>
        <w:tab/>
      </w:r>
      <w:r>
        <w:rPr>
          <w:b/>
        </w:rPr>
        <w:t>Pokrycie dachu blachą</w:t>
      </w:r>
    </w:p>
    <w:p w:rsidR="002A0D61" w:rsidRDefault="00BF2516">
      <w:r>
        <w:t>Płaci się za ustaloną ilość m</w:t>
      </w:r>
      <w:r>
        <w:rPr>
          <w:rFonts w:ascii="Arial" w:eastAsia="Arial" w:hAnsi="Arial" w:cs="Arial"/>
          <w:sz w:val="15"/>
          <w:vertAlign w:val="superscript"/>
        </w:rPr>
        <w:t>2</w:t>
      </w:r>
      <w:r>
        <w:t xml:space="preserve"> krycia, która obejmuje:</w:t>
      </w:r>
    </w:p>
    <w:p w:rsidR="002A0D61" w:rsidRDefault="00BF2516">
      <w:pPr>
        <w:numPr>
          <w:ilvl w:val="0"/>
          <w:numId w:val="31"/>
        </w:numPr>
        <w:ind w:hanging="346"/>
      </w:pPr>
      <w:r>
        <w:lastRenderedPageBreak/>
        <w:t>przygotowanie stanowiska roboczego,</w:t>
      </w:r>
    </w:p>
    <w:p w:rsidR="002A0D61" w:rsidRDefault="00BF2516">
      <w:pPr>
        <w:numPr>
          <w:ilvl w:val="0"/>
          <w:numId w:val="31"/>
        </w:numPr>
        <w:ind w:hanging="346"/>
      </w:pPr>
      <w:r>
        <w:t>dostarczenie materiałów i sprzętu,</w:t>
      </w:r>
    </w:p>
    <w:p w:rsidR="002A0D61" w:rsidRDefault="00BF2516">
      <w:pPr>
        <w:numPr>
          <w:ilvl w:val="0"/>
          <w:numId w:val="31"/>
        </w:numPr>
        <w:ind w:hanging="346"/>
      </w:pPr>
      <w:r>
        <w:t>obsługę sprzętu nieposiadającego etatowej obsługi,</w:t>
      </w:r>
    </w:p>
    <w:p w:rsidR="002A0D61" w:rsidRDefault="00BF2516">
      <w:pPr>
        <w:numPr>
          <w:ilvl w:val="0"/>
          <w:numId w:val="31"/>
        </w:numPr>
        <w:ind w:hanging="346"/>
      </w:pPr>
      <w:r>
        <w:t>ustawienie i rozbiórkę rusztowań o wysokości do 4 m,</w:t>
      </w:r>
    </w:p>
    <w:p w:rsidR="002A0D61" w:rsidRDefault="00BF2516">
      <w:pPr>
        <w:numPr>
          <w:ilvl w:val="0"/>
          <w:numId w:val="31"/>
        </w:numPr>
        <w:ind w:hanging="346"/>
      </w:pPr>
      <w:r>
        <w:t>oczyszczenie podkładu,</w:t>
      </w:r>
    </w:p>
    <w:p w:rsidR="002A0D61" w:rsidRDefault="00BF2516">
      <w:pPr>
        <w:numPr>
          <w:ilvl w:val="0"/>
          <w:numId w:val="31"/>
        </w:numPr>
        <w:ind w:hanging="346"/>
      </w:pPr>
      <w:r>
        <w:t xml:space="preserve">pokrycie dachu blachą płaską łączne z przygotowaniem łapek i żabek oraz obrobienie kominów, kalenic, koszy, narożników  łącznie z </w:t>
      </w:r>
      <w:proofErr w:type="spellStart"/>
      <w:r>
        <w:t>pokitowaniem</w:t>
      </w:r>
      <w:proofErr w:type="spellEnd"/>
      <w:r>
        <w:t xml:space="preserve"> lub</w:t>
      </w:r>
    </w:p>
    <w:p w:rsidR="002A0D61" w:rsidRDefault="00BF2516">
      <w:pPr>
        <w:numPr>
          <w:ilvl w:val="0"/>
          <w:numId w:val="31"/>
        </w:numPr>
        <w:ind w:hanging="346"/>
      </w:pPr>
      <w:r>
        <w:t>(pokrycie dachu blachą trapezową i dachówkową lub płytami z tworzyw sztucznych łącznie z przycięciem płyt i obróbek na żądany wymiar, umocowanie za pomocą wkrętów samogwintujących płyt dachowych, gąsiorów i obróbek blacharskich oraz uszczelnienie kalenicy i okapu),</w:t>
      </w:r>
    </w:p>
    <w:p w:rsidR="002A0D61" w:rsidRDefault="00BF2516">
      <w:pPr>
        <w:numPr>
          <w:ilvl w:val="0"/>
          <w:numId w:val="31"/>
        </w:numPr>
        <w:spacing w:after="0"/>
        <w:ind w:hanging="346"/>
      </w:pPr>
      <w:r>
        <w:t>oczyszczenie miejsca pracy z resztek materiałów,</w:t>
      </w:r>
    </w:p>
    <w:p w:rsidR="002A0D61" w:rsidRDefault="00BF2516">
      <w:pPr>
        <w:numPr>
          <w:ilvl w:val="0"/>
          <w:numId w:val="31"/>
        </w:numPr>
        <w:ind w:hanging="346"/>
      </w:pPr>
      <w:r>
        <w:t>likwidacja stanowiska roboczego.</w:t>
      </w:r>
    </w:p>
    <w:p w:rsidR="002A0D61" w:rsidRDefault="00BF2516">
      <w:pPr>
        <w:spacing w:after="170"/>
        <w:ind w:right="-15"/>
        <w:jc w:val="left"/>
      </w:pPr>
      <w:r>
        <w:rPr>
          <w:rFonts w:ascii="Times New Roman" w:eastAsia="Times New Roman" w:hAnsi="Times New Roman" w:cs="Times New Roman"/>
        </w:rPr>
        <w:t>9.2.</w:t>
      </w:r>
      <w:r>
        <w:rPr>
          <w:rFonts w:ascii="Times New Roman" w:eastAsia="Times New Roman" w:hAnsi="Times New Roman" w:cs="Times New Roman"/>
        </w:rPr>
        <w:tab/>
      </w:r>
      <w:r>
        <w:rPr>
          <w:b/>
        </w:rPr>
        <w:t>Obróbki blacharskie</w:t>
      </w:r>
    </w:p>
    <w:p w:rsidR="002A0D61" w:rsidRDefault="00BF2516">
      <w:r>
        <w:t>Płaci się za ustaloną ilość m</w:t>
      </w:r>
      <w:r>
        <w:rPr>
          <w:rFonts w:ascii="Arial" w:eastAsia="Arial" w:hAnsi="Arial" w:cs="Arial"/>
          <w:sz w:val="15"/>
          <w:vertAlign w:val="superscript"/>
        </w:rPr>
        <w:t>2</w:t>
      </w:r>
      <w:r>
        <w:t xml:space="preserve"> obróbki wg ceny jednostkowej, która obejmuje:</w:t>
      </w:r>
    </w:p>
    <w:p w:rsidR="002A0D61" w:rsidRDefault="00BF2516">
      <w:pPr>
        <w:numPr>
          <w:ilvl w:val="0"/>
          <w:numId w:val="31"/>
        </w:numPr>
        <w:ind w:hanging="346"/>
      </w:pPr>
      <w:r>
        <w:t>przygotowanie,</w:t>
      </w:r>
    </w:p>
    <w:p w:rsidR="002A0D61" w:rsidRDefault="00BF2516">
      <w:pPr>
        <w:numPr>
          <w:ilvl w:val="0"/>
          <w:numId w:val="31"/>
        </w:numPr>
        <w:spacing w:after="526" w:line="373" w:lineRule="auto"/>
        <w:ind w:hanging="346"/>
      </w:pPr>
      <w:r>
        <w:t>zamontowanie i umocowanie obróbek w podłożu, zalutowanie połączeń, –</w:t>
      </w:r>
      <w:r>
        <w:tab/>
        <w:t>uporządkowanie stanowiska pracy.</w:t>
      </w:r>
    </w:p>
    <w:p w:rsidR="002A0D61" w:rsidRDefault="00BF2516">
      <w:pPr>
        <w:spacing w:after="170"/>
        <w:ind w:right="-15"/>
        <w:jc w:val="left"/>
      </w:pPr>
      <w:r>
        <w:rPr>
          <w:rFonts w:ascii="Times New Roman" w:eastAsia="Times New Roman" w:hAnsi="Times New Roman" w:cs="Times New Roman"/>
        </w:rPr>
        <w:t>9.3.</w:t>
      </w:r>
      <w:r>
        <w:rPr>
          <w:rFonts w:ascii="Times New Roman" w:eastAsia="Times New Roman" w:hAnsi="Times New Roman" w:cs="Times New Roman"/>
        </w:rPr>
        <w:tab/>
      </w:r>
      <w:r>
        <w:rPr>
          <w:b/>
        </w:rPr>
        <w:t>Rynny i rury spustowe</w:t>
      </w:r>
    </w:p>
    <w:p w:rsidR="002A0D61" w:rsidRDefault="00BF2516">
      <w:r>
        <w:t>Płaci się za ustaloną ilość „m” rynien wg ceny jednostkowej, która obejmuje:</w:t>
      </w:r>
    </w:p>
    <w:p w:rsidR="002A0D61" w:rsidRDefault="00BF2516">
      <w:pPr>
        <w:numPr>
          <w:ilvl w:val="0"/>
          <w:numId w:val="31"/>
        </w:numPr>
        <w:ind w:hanging="346"/>
      </w:pPr>
      <w:r>
        <w:t>przygotowanie,</w:t>
      </w:r>
    </w:p>
    <w:p w:rsidR="002A0D61" w:rsidRDefault="00BF2516">
      <w:pPr>
        <w:numPr>
          <w:ilvl w:val="0"/>
          <w:numId w:val="31"/>
        </w:numPr>
        <w:spacing w:after="527" w:line="373" w:lineRule="auto"/>
        <w:ind w:hanging="346"/>
      </w:pPr>
      <w:r>
        <w:t>zmontowanie, umocowanie rynien i rur spustowych oraz zalutowanie połączeń, –</w:t>
      </w:r>
      <w:r>
        <w:tab/>
        <w:t>uporządkowanie stanowiska pracy.</w:t>
      </w:r>
    </w:p>
    <w:p w:rsidR="002A0D61" w:rsidRDefault="00BF2516">
      <w:pPr>
        <w:numPr>
          <w:ilvl w:val="0"/>
          <w:numId w:val="32"/>
        </w:numPr>
        <w:spacing w:after="170"/>
        <w:ind w:right="-15" w:hanging="720"/>
        <w:jc w:val="left"/>
      </w:pPr>
      <w:r>
        <w:rPr>
          <w:b/>
        </w:rPr>
        <w:t>PRZEPISY ZWIĄZANE</w:t>
      </w:r>
    </w:p>
    <w:p w:rsidR="002A0D61" w:rsidRDefault="00BF2516">
      <w:pPr>
        <w:spacing w:after="170"/>
        <w:ind w:right="-15"/>
        <w:jc w:val="left"/>
      </w:pPr>
      <w:r>
        <w:rPr>
          <w:rFonts w:ascii="Times New Roman" w:eastAsia="Times New Roman" w:hAnsi="Times New Roman" w:cs="Times New Roman"/>
        </w:rPr>
        <w:t>10.1.</w:t>
      </w:r>
      <w:r>
        <w:rPr>
          <w:rFonts w:ascii="Times New Roman" w:eastAsia="Times New Roman" w:hAnsi="Times New Roman" w:cs="Times New Roman"/>
        </w:rPr>
        <w:tab/>
      </w:r>
      <w:r>
        <w:rPr>
          <w:b/>
        </w:rPr>
        <w:t>Normy</w:t>
      </w:r>
    </w:p>
    <w:tbl>
      <w:tblPr>
        <w:tblStyle w:val="TableGrid"/>
        <w:tblW w:w="9506" w:type="dxa"/>
        <w:tblInd w:w="0" w:type="dxa"/>
        <w:tblLook w:val="04A0" w:firstRow="1" w:lastRow="0" w:firstColumn="1" w:lastColumn="0" w:noHBand="0" w:noVBand="1"/>
      </w:tblPr>
      <w:tblGrid>
        <w:gridCol w:w="1696"/>
        <w:gridCol w:w="7810"/>
      </w:tblGrid>
      <w:tr w:rsidR="002A0D61">
        <w:trPr>
          <w:trHeight w:val="280"/>
        </w:trPr>
        <w:tc>
          <w:tcPr>
            <w:tcW w:w="1696" w:type="dxa"/>
            <w:tcBorders>
              <w:top w:val="nil"/>
              <w:left w:val="nil"/>
              <w:bottom w:val="nil"/>
              <w:right w:val="nil"/>
            </w:tcBorders>
          </w:tcPr>
          <w:p w:rsidR="002A0D61" w:rsidRDefault="00BF2516">
            <w:pPr>
              <w:spacing w:after="0" w:line="276" w:lineRule="auto"/>
              <w:ind w:left="0" w:right="0" w:firstLine="0"/>
              <w:jc w:val="left"/>
            </w:pPr>
            <w:r>
              <w:t>PN-B-</w:t>
            </w:r>
            <w:r>
              <w:rPr>
                <w:rFonts w:ascii="Arial" w:eastAsia="Arial" w:hAnsi="Arial" w:cs="Arial"/>
              </w:rPr>
              <w:t>02361</w:t>
            </w:r>
            <w:r>
              <w:t>:</w:t>
            </w:r>
            <w:r>
              <w:rPr>
                <w:rFonts w:ascii="Arial" w:eastAsia="Arial" w:hAnsi="Arial" w:cs="Arial"/>
              </w:rPr>
              <w:t>1999</w:t>
            </w:r>
          </w:p>
        </w:tc>
        <w:tc>
          <w:tcPr>
            <w:tcW w:w="7810" w:type="dxa"/>
            <w:tcBorders>
              <w:top w:val="nil"/>
              <w:left w:val="nil"/>
              <w:bottom w:val="nil"/>
              <w:right w:val="nil"/>
            </w:tcBorders>
          </w:tcPr>
          <w:p w:rsidR="002A0D61" w:rsidRDefault="00BF2516">
            <w:pPr>
              <w:spacing w:after="0" w:line="276" w:lineRule="auto"/>
              <w:ind w:left="0" w:right="0" w:firstLine="0"/>
              <w:jc w:val="left"/>
            </w:pPr>
            <w:r>
              <w:t>Pochylenia połaci dachowych.</w:t>
            </w:r>
          </w:p>
        </w:tc>
      </w:tr>
      <w:tr w:rsidR="002A0D61">
        <w:trPr>
          <w:trHeight w:val="367"/>
        </w:trPr>
        <w:tc>
          <w:tcPr>
            <w:tcW w:w="1696" w:type="dxa"/>
            <w:tcBorders>
              <w:top w:val="nil"/>
              <w:left w:val="nil"/>
              <w:bottom w:val="nil"/>
              <w:right w:val="nil"/>
            </w:tcBorders>
          </w:tcPr>
          <w:p w:rsidR="002A0D61" w:rsidRDefault="00BF2516">
            <w:pPr>
              <w:spacing w:after="0" w:line="276" w:lineRule="auto"/>
              <w:ind w:left="0" w:right="0" w:firstLine="0"/>
              <w:jc w:val="left"/>
            </w:pPr>
            <w:r>
              <w:t>PN-</w:t>
            </w:r>
            <w:r>
              <w:rPr>
                <w:rFonts w:ascii="Arial" w:eastAsia="Arial" w:hAnsi="Arial" w:cs="Arial"/>
              </w:rPr>
              <w:t>89</w:t>
            </w:r>
            <w:r>
              <w:t>/B-</w:t>
            </w:r>
            <w:r>
              <w:rPr>
                <w:rFonts w:ascii="Arial" w:eastAsia="Arial" w:hAnsi="Arial" w:cs="Arial"/>
              </w:rPr>
              <w:t>27617</w:t>
            </w:r>
          </w:p>
        </w:tc>
        <w:tc>
          <w:tcPr>
            <w:tcW w:w="7810" w:type="dxa"/>
            <w:tcBorders>
              <w:top w:val="nil"/>
              <w:left w:val="nil"/>
              <w:bottom w:val="nil"/>
              <w:right w:val="nil"/>
            </w:tcBorders>
          </w:tcPr>
          <w:p w:rsidR="002A0D61" w:rsidRDefault="00BF2516">
            <w:pPr>
              <w:spacing w:after="0" w:line="276" w:lineRule="auto"/>
              <w:ind w:left="0" w:right="0" w:firstLine="0"/>
              <w:jc w:val="left"/>
            </w:pPr>
            <w:r>
              <w:t>Papa asfaltowa na tekturze budowlanej.</w:t>
            </w:r>
          </w:p>
        </w:tc>
      </w:tr>
      <w:tr w:rsidR="002A0D61">
        <w:trPr>
          <w:trHeight w:val="643"/>
        </w:trPr>
        <w:tc>
          <w:tcPr>
            <w:tcW w:w="1696" w:type="dxa"/>
            <w:tcBorders>
              <w:top w:val="nil"/>
              <w:left w:val="nil"/>
              <w:bottom w:val="nil"/>
              <w:right w:val="nil"/>
            </w:tcBorders>
          </w:tcPr>
          <w:p w:rsidR="002A0D61" w:rsidRDefault="00BF2516">
            <w:pPr>
              <w:spacing w:after="0" w:line="276" w:lineRule="auto"/>
              <w:ind w:left="0" w:right="0" w:firstLine="0"/>
              <w:jc w:val="left"/>
            </w:pPr>
            <w:r>
              <w:t>PN-</w:t>
            </w:r>
            <w:r>
              <w:rPr>
                <w:rFonts w:ascii="Arial" w:eastAsia="Arial" w:hAnsi="Arial" w:cs="Arial"/>
              </w:rPr>
              <w:t>61</w:t>
            </w:r>
            <w:r>
              <w:t>/B-</w:t>
            </w:r>
            <w:r>
              <w:rPr>
                <w:rFonts w:ascii="Arial" w:eastAsia="Arial" w:hAnsi="Arial" w:cs="Arial"/>
              </w:rPr>
              <w:t>10245</w:t>
            </w:r>
          </w:p>
        </w:tc>
        <w:tc>
          <w:tcPr>
            <w:tcW w:w="7810" w:type="dxa"/>
            <w:tcBorders>
              <w:top w:val="nil"/>
              <w:left w:val="nil"/>
              <w:bottom w:val="nil"/>
              <w:right w:val="nil"/>
            </w:tcBorders>
          </w:tcPr>
          <w:p w:rsidR="002A0D61" w:rsidRDefault="00BF2516">
            <w:pPr>
              <w:spacing w:after="0" w:line="276" w:lineRule="auto"/>
              <w:ind w:left="0" w:right="0" w:firstLine="0"/>
            </w:pPr>
            <w:r>
              <w:t>Roboty blacharskie budowlane z blachy stalowej ocynkowanej i cynkowej. Wymagania i badania techniczne przy odbiorze.</w:t>
            </w:r>
          </w:p>
        </w:tc>
      </w:tr>
      <w:tr w:rsidR="002A0D61">
        <w:trPr>
          <w:trHeight w:val="643"/>
        </w:trPr>
        <w:tc>
          <w:tcPr>
            <w:tcW w:w="1696" w:type="dxa"/>
            <w:tcBorders>
              <w:top w:val="nil"/>
              <w:left w:val="nil"/>
              <w:bottom w:val="nil"/>
              <w:right w:val="nil"/>
            </w:tcBorders>
          </w:tcPr>
          <w:p w:rsidR="002A0D61" w:rsidRDefault="00BF2516">
            <w:pPr>
              <w:spacing w:after="0" w:line="276" w:lineRule="auto"/>
              <w:ind w:left="0" w:right="0" w:firstLine="0"/>
              <w:jc w:val="left"/>
            </w:pPr>
            <w:r>
              <w:t xml:space="preserve">PN-EN </w:t>
            </w:r>
            <w:r>
              <w:rPr>
                <w:rFonts w:ascii="Arial" w:eastAsia="Arial" w:hAnsi="Arial" w:cs="Arial"/>
              </w:rPr>
              <w:t>501:1999</w:t>
            </w:r>
          </w:p>
        </w:tc>
        <w:tc>
          <w:tcPr>
            <w:tcW w:w="7810" w:type="dxa"/>
            <w:tcBorders>
              <w:top w:val="nil"/>
              <w:left w:val="nil"/>
              <w:bottom w:val="nil"/>
              <w:right w:val="nil"/>
            </w:tcBorders>
          </w:tcPr>
          <w:p w:rsidR="002A0D61" w:rsidRDefault="00BF2516">
            <w:pPr>
              <w:spacing w:after="0" w:line="276" w:lineRule="auto"/>
              <w:ind w:left="0" w:right="0" w:firstLine="0"/>
            </w:pPr>
            <w:r>
              <w:t>Wyroby do pokryć dachowych z metalu. Charakterystyka wyrobów z cynku do pokryć dachowych układanych na ciągłym podłożu.</w:t>
            </w:r>
          </w:p>
        </w:tc>
      </w:tr>
      <w:tr w:rsidR="002A0D61">
        <w:trPr>
          <w:trHeight w:val="643"/>
        </w:trPr>
        <w:tc>
          <w:tcPr>
            <w:tcW w:w="1696" w:type="dxa"/>
            <w:tcBorders>
              <w:top w:val="nil"/>
              <w:left w:val="nil"/>
              <w:bottom w:val="nil"/>
              <w:right w:val="nil"/>
            </w:tcBorders>
          </w:tcPr>
          <w:p w:rsidR="002A0D61" w:rsidRDefault="00BF2516">
            <w:pPr>
              <w:spacing w:after="0" w:line="276" w:lineRule="auto"/>
              <w:ind w:left="0" w:right="0" w:firstLine="0"/>
              <w:jc w:val="left"/>
            </w:pPr>
            <w:r>
              <w:t>PN-EN *</w:t>
            </w:r>
            <w:r>
              <w:rPr>
                <w:rFonts w:ascii="Arial" w:eastAsia="Arial" w:hAnsi="Arial" w:cs="Arial"/>
              </w:rPr>
              <w:t>506:2002</w:t>
            </w:r>
          </w:p>
        </w:tc>
        <w:tc>
          <w:tcPr>
            <w:tcW w:w="7810" w:type="dxa"/>
            <w:tcBorders>
              <w:top w:val="nil"/>
              <w:left w:val="nil"/>
              <w:bottom w:val="nil"/>
              <w:right w:val="nil"/>
            </w:tcBorders>
          </w:tcPr>
          <w:p w:rsidR="002A0D61" w:rsidRDefault="00BF2516">
            <w:pPr>
              <w:spacing w:after="0" w:line="276" w:lineRule="auto"/>
              <w:ind w:left="0" w:right="0" w:firstLine="0"/>
            </w:pPr>
            <w:r>
              <w:t>Wyroby do pokryć dachowych z metalu. Charakterystyka wyrobów samonośnych z blachy miedzianej lub cynkowej.</w:t>
            </w:r>
          </w:p>
        </w:tc>
      </w:tr>
      <w:tr w:rsidR="002A0D61">
        <w:trPr>
          <w:trHeight w:val="643"/>
        </w:trPr>
        <w:tc>
          <w:tcPr>
            <w:tcW w:w="1696" w:type="dxa"/>
            <w:tcBorders>
              <w:top w:val="nil"/>
              <w:left w:val="nil"/>
              <w:bottom w:val="nil"/>
              <w:right w:val="nil"/>
            </w:tcBorders>
          </w:tcPr>
          <w:p w:rsidR="002A0D61" w:rsidRDefault="00BF2516">
            <w:pPr>
              <w:spacing w:after="0" w:line="276" w:lineRule="auto"/>
              <w:ind w:left="0" w:right="0" w:firstLine="0"/>
              <w:jc w:val="left"/>
            </w:pPr>
            <w:r>
              <w:t xml:space="preserve">PN-EN </w:t>
            </w:r>
            <w:r>
              <w:rPr>
                <w:rFonts w:ascii="Arial" w:eastAsia="Arial" w:hAnsi="Arial" w:cs="Arial"/>
              </w:rPr>
              <w:t>504:2002</w:t>
            </w:r>
          </w:p>
        </w:tc>
        <w:tc>
          <w:tcPr>
            <w:tcW w:w="7810" w:type="dxa"/>
            <w:tcBorders>
              <w:top w:val="nil"/>
              <w:left w:val="nil"/>
              <w:bottom w:val="nil"/>
              <w:right w:val="nil"/>
            </w:tcBorders>
          </w:tcPr>
          <w:p w:rsidR="002A0D61" w:rsidRDefault="00BF2516">
            <w:pPr>
              <w:spacing w:after="0" w:line="276" w:lineRule="auto"/>
              <w:ind w:left="0" w:right="0" w:firstLine="0"/>
            </w:pPr>
            <w:r>
              <w:t>Wyroby do pokryć dachowych z metalu. Charakterystyka wyrobów z blachy miedzianej układanych na ciągłym podłożu.</w:t>
            </w:r>
          </w:p>
        </w:tc>
      </w:tr>
      <w:tr w:rsidR="002A0D61">
        <w:trPr>
          <w:trHeight w:val="280"/>
        </w:trPr>
        <w:tc>
          <w:tcPr>
            <w:tcW w:w="1696" w:type="dxa"/>
            <w:tcBorders>
              <w:top w:val="nil"/>
              <w:left w:val="nil"/>
              <w:bottom w:val="nil"/>
              <w:right w:val="nil"/>
            </w:tcBorders>
          </w:tcPr>
          <w:p w:rsidR="002A0D61" w:rsidRDefault="00BF2516">
            <w:pPr>
              <w:spacing w:after="0" w:line="276" w:lineRule="auto"/>
              <w:ind w:left="0" w:right="0" w:firstLine="0"/>
              <w:jc w:val="left"/>
            </w:pPr>
            <w:r>
              <w:t xml:space="preserve">PN-EN </w:t>
            </w:r>
            <w:r>
              <w:rPr>
                <w:rFonts w:ascii="Arial" w:eastAsia="Arial" w:hAnsi="Arial" w:cs="Arial"/>
              </w:rPr>
              <w:t>505:2002</w:t>
            </w:r>
          </w:p>
        </w:tc>
        <w:tc>
          <w:tcPr>
            <w:tcW w:w="7810" w:type="dxa"/>
            <w:tcBorders>
              <w:top w:val="nil"/>
              <w:left w:val="nil"/>
              <w:bottom w:val="nil"/>
              <w:right w:val="nil"/>
            </w:tcBorders>
          </w:tcPr>
          <w:p w:rsidR="002A0D61" w:rsidRDefault="00BF2516">
            <w:pPr>
              <w:spacing w:after="0" w:line="276" w:lineRule="auto"/>
              <w:ind w:left="0" w:right="0" w:firstLine="0"/>
            </w:pPr>
            <w:r>
              <w:t>Wyroby do pokryć dachowych z metalu. Charakterystyka wyrobów płytowych ze stali</w:t>
            </w:r>
          </w:p>
        </w:tc>
      </w:tr>
    </w:tbl>
    <w:p w:rsidR="002A0D61" w:rsidRDefault="00BF2516">
      <w:pPr>
        <w:ind w:left="1706"/>
      </w:pPr>
      <w:r>
        <w:t>układanych na ciągłym podłożu.</w:t>
      </w:r>
    </w:p>
    <w:p w:rsidR="002A0D61" w:rsidRDefault="00BF2516">
      <w:pPr>
        <w:ind w:left="1681" w:hanging="1696"/>
      </w:pPr>
      <w:r>
        <w:lastRenderedPageBreak/>
        <w:t xml:space="preserve">PN-EN </w:t>
      </w:r>
      <w:r>
        <w:rPr>
          <w:rFonts w:ascii="Arial" w:eastAsia="Arial" w:hAnsi="Arial" w:cs="Arial"/>
        </w:rPr>
        <w:t xml:space="preserve">508-1:2002 </w:t>
      </w:r>
      <w:r>
        <w:t xml:space="preserve">Wyroby do pokryć dachowych z metalu. Charakterystyka wyrobów samonośnych z blachy stalowej, aluminiowej lub ze stali odpornej na korozję. Część </w:t>
      </w:r>
      <w:r>
        <w:rPr>
          <w:rFonts w:ascii="Arial" w:eastAsia="Arial" w:hAnsi="Arial" w:cs="Arial"/>
        </w:rPr>
        <w:t>1</w:t>
      </w:r>
      <w:r>
        <w:t>:  Stal.</w:t>
      </w:r>
    </w:p>
    <w:p w:rsidR="002A0D61" w:rsidRDefault="00BF2516">
      <w:pPr>
        <w:ind w:left="1681" w:hanging="1696"/>
      </w:pPr>
      <w:r>
        <w:t xml:space="preserve">PN-EN </w:t>
      </w:r>
      <w:r>
        <w:rPr>
          <w:rFonts w:ascii="Arial" w:eastAsia="Arial" w:hAnsi="Arial" w:cs="Arial"/>
        </w:rPr>
        <w:t xml:space="preserve">508-2:2002 </w:t>
      </w:r>
      <w:r>
        <w:t xml:space="preserve">Wyroby do pokryć dachowych z metalu. Charakterystyka wyrobów samonośnych z blachy stalowej, aluminiowej lub ze stali odpornej na korozję. Część </w:t>
      </w:r>
      <w:r>
        <w:rPr>
          <w:rFonts w:ascii="Arial" w:eastAsia="Arial" w:hAnsi="Arial" w:cs="Arial"/>
        </w:rPr>
        <w:t>2</w:t>
      </w:r>
      <w:r>
        <w:t>:  Aluminium.</w:t>
      </w:r>
    </w:p>
    <w:p w:rsidR="002A0D61" w:rsidRDefault="00BF2516">
      <w:pPr>
        <w:ind w:left="1681" w:hanging="1696"/>
      </w:pPr>
      <w:r>
        <w:t xml:space="preserve">PN-EN </w:t>
      </w:r>
      <w:r>
        <w:rPr>
          <w:rFonts w:ascii="Arial" w:eastAsia="Arial" w:hAnsi="Arial" w:cs="Arial"/>
        </w:rPr>
        <w:t xml:space="preserve">508-3:2002 </w:t>
      </w:r>
      <w:r>
        <w:t xml:space="preserve">Wyroby do pokryć dachowych z metalu. Charakterystyka wyrobów samonośnych z blachy stalowej, aluminiowej lub ze stali odpornej na korozję. Część </w:t>
      </w:r>
      <w:r>
        <w:rPr>
          <w:rFonts w:ascii="Arial" w:eastAsia="Arial" w:hAnsi="Arial" w:cs="Arial"/>
        </w:rPr>
        <w:t>3</w:t>
      </w:r>
      <w:r>
        <w:t>: Stal odporna na korozję.</w:t>
      </w:r>
    </w:p>
    <w:p w:rsidR="002A0D61" w:rsidRDefault="00BF2516">
      <w:pPr>
        <w:ind w:left="1681" w:hanging="1696"/>
      </w:pPr>
      <w:r>
        <w:t xml:space="preserve">PN-EN </w:t>
      </w:r>
      <w:r>
        <w:rPr>
          <w:rFonts w:ascii="Arial" w:eastAsia="Arial" w:hAnsi="Arial" w:cs="Arial"/>
        </w:rPr>
        <w:t xml:space="preserve">502:2002 </w:t>
      </w:r>
      <w:r>
        <w:t>Wyroby do pokryć dachowych z metalu. Charakterystyka wyrobów samonośnych z blachy ze stali odpornej na korozję, układanych na ciągłym podłożu.</w:t>
      </w:r>
    </w:p>
    <w:p w:rsidR="002A0D61" w:rsidRDefault="00BF2516">
      <w:pPr>
        <w:ind w:left="1681" w:hanging="1696"/>
      </w:pPr>
      <w:r>
        <w:t xml:space="preserve">PN-EN </w:t>
      </w:r>
      <w:r>
        <w:rPr>
          <w:rFonts w:ascii="Arial" w:eastAsia="Arial" w:hAnsi="Arial" w:cs="Arial"/>
        </w:rPr>
        <w:t xml:space="preserve">507:2002 </w:t>
      </w:r>
      <w:r>
        <w:t>Wyroby do pokryć dachowych z metalu. Charakterystyka wyrobów samonośnych z blachy aluminiowej, układanych na ciągłym podłożu.</w:t>
      </w:r>
    </w:p>
    <w:p w:rsidR="002A0D61" w:rsidRDefault="00BF2516">
      <w:r>
        <w:t>PN-B-</w:t>
      </w:r>
      <w:r>
        <w:rPr>
          <w:rFonts w:ascii="Arial" w:eastAsia="Arial" w:hAnsi="Arial" w:cs="Arial"/>
        </w:rPr>
        <w:t>94701</w:t>
      </w:r>
      <w:r>
        <w:t>:</w:t>
      </w:r>
      <w:r>
        <w:rPr>
          <w:rFonts w:ascii="Arial" w:eastAsia="Arial" w:hAnsi="Arial" w:cs="Arial"/>
        </w:rPr>
        <w:t xml:space="preserve">1999 </w:t>
      </w:r>
      <w:r>
        <w:t>Dachy. Uchwyty stalowe ocynkowane do rur spustowych okrągłych.</w:t>
      </w:r>
    </w:p>
    <w:p w:rsidR="002A0D61" w:rsidRDefault="00BF2516">
      <w:r>
        <w:t xml:space="preserve">PN-EN </w:t>
      </w:r>
      <w:r>
        <w:rPr>
          <w:rFonts w:ascii="Arial" w:eastAsia="Arial" w:hAnsi="Arial" w:cs="Arial"/>
        </w:rPr>
        <w:t xml:space="preserve">1462:2001 </w:t>
      </w:r>
      <w:r>
        <w:t>Uchwyty do rynien okapowych. Wymagania i badania.</w:t>
      </w:r>
    </w:p>
    <w:p w:rsidR="002A0D61" w:rsidRDefault="00BF2516">
      <w:r>
        <w:t xml:space="preserve">PN-EN </w:t>
      </w:r>
      <w:r>
        <w:rPr>
          <w:rFonts w:ascii="Arial" w:eastAsia="Arial" w:hAnsi="Arial" w:cs="Arial"/>
        </w:rPr>
        <w:t>612:1999</w:t>
      </w:r>
      <w:r>
        <w:rPr>
          <w:rFonts w:ascii="Arial" w:eastAsia="Arial" w:hAnsi="Arial" w:cs="Arial"/>
        </w:rPr>
        <w:tab/>
      </w:r>
      <w:r>
        <w:t>Rynny dachowe i rury spustowe z blachy. Definicje, podział i wymagania.</w:t>
      </w:r>
    </w:p>
    <w:p w:rsidR="002A0D61" w:rsidRDefault="00BF2516">
      <w:pPr>
        <w:spacing w:after="0"/>
      </w:pPr>
      <w:r>
        <w:t>PN-B-</w:t>
      </w:r>
      <w:r>
        <w:rPr>
          <w:rFonts w:ascii="Arial" w:eastAsia="Arial" w:hAnsi="Arial" w:cs="Arial"/>
        </w:rPr>
        <w:t>94702</w:t>
      </w:r>
      <w:r>
        <w:t>:</w:t>
      </w:r>
      <w:r>
        <w:rPr>
          <w:rFonts w:ascii="Arial" w:eastAsia="Arial" w:hAnsi="Arial" w:cs="Arial"/>
        </w:rPr>
        <w:t xml:space="preserve">1999 </w:t>
      </w:r>
      <w:r>
        <w:t>Dachy. Uchwyty stalowe ocynkowane do rynien półokrągłych.</w:t>
      </w:r>
    </w:p>
    <w:p w:rsidR="002A0D61" w:rsidRDefault="00BF2516">
      <w:pPr>
        <w:spacing w:after="533"/>
      </w:pPr>
      <w:r>
        <w:t xml:space="preserve">PN-EN </w:t>
      </w:r>
      <w:r>
        <w:rPr>
          <w:rFonts w:ascii="Arial" w:eastAsia="Arial" w:hAnsi="Arial" w:cs="Arial"/>
        </w:rPr>
        <w:t>607:1999</w:t>
      </w:r>
      <w:r>
        <w:rPr>
          <w:rFonts w:ascii="Arial" w:eastAsia="Arial" w:hAnsi="Arial" w:cs="Arial"/>
        </w:rPr>
        <w:tab/>
      </w:r>
      <w:r>
        <w:t>Rynny dachowe i elementy wyposażenia z PCV-U. Definicje, wymagania i badania.</w:t>
      </w:r>
    </w:p>
    <w:p w:rsidR="002A0D61" w:rsidRDefault="00BF2516">
      <w:pPr>
        <w:spacing w:after="170"/>
        <w:ind w:right="-15"/>
        <w:jc w:val="left"/>
      </w:pPr>
      <w:r>
        <w:rPr>
          <w:rFonts w:ascii="Times New Roman" w:eastAsia="Times New Roman" w:hAnsi="Times New Roman" w:cs="Times New Roman"/>
        </w:rPr>
        <w:t>10.2.</w:t>
      </w:r>
      <w:r>
        <w:rPr>
          <w:rFonts w:ascii="Times New Roman" w:eastAsia="Times New Roman" w:hAnsi="Times New Roman" w:cs="Times New Roman"/>
        </w:rPr>
        <w:tab/>
      </w:r>
      <w:r>
        <w:rPr>
          <w:b/>
        </w:rPr>
        <w:t>Inne dokumenty i instrukcje</w:t>
      </w:r>
    </w:p>
    <w:p w:rsidR="002A0D61" w:rsidRDefault="00BF2516">
      <w:pPr>
        <w:spacing w:after="0"/>
      </w:pPr>
      <w:r>
        <w:t xml:space="preserve">Warunki techniczne wykonania i odbioru robót budowlanych – część C: zabezpieczenie i izolacje, zeszyt </w:t>
      </w:r>
      <w:r>
        <w:rPr>
          <w:rFonts w:ascii="Arial" w:eastAsia="Arial" w:hAnsi="Arial" w:cs="Arial"/>
        </w:rPr>
        <w:t>1</w:t>
      </w:r>
      <w:r>
        <w:t>:  Pokrycia dachowe, wydane przez ITB – Warszawa 2004 r.</w:t>
      </w:r>
    </w:p>
    <w:sectPr w:rsidR="002A0D61">
      <w:headerReference w:type="even" r:id="rId14"/>
      <w:headerReference w:type="default" r:id="rId15"/>
      <w:footerReference w:type="even" r:id="rId16"/>
      <w:footerReference w:type="default" r:id="rId17"/>
      <w:headerReference w:type="first" r:id="rId18"/>
      <w:footerReference w:type="first" r:id="rId19"/>
      <w:pgSz w:w="11904" w:h="16840"/>
      <w:pgMar w:top="1322" w:right="1188" w:bottom="1320" w:left="1209" w:header="708" w:footer="54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516" w:rsidRDefault="00BF2516">
      <w:pPr>
        <w:spacing w:after="0" w:line="240" w:lineRule="auto"/>
      </w:pPr>
      <w:r>
        <w:separator/>
      </w:r>
    </w:p>
  </w:endnote>
  <w:endnote w:type="continuationSeparator" w:id="0">
    <w:p w:rsidR="00BF2516" w:rsidRDefault="00BF2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pPr>
      <w:spacing w:after="0" w:line="227" w:lineRule="auto"/>
      <w:ind w:left="592" w:right="408" w:hanging="592"/>
      <w:jc w:val="left"/>
    </w:pPr>
    <w:r>
      <w:rPr>
        <w:rFonts w:ascii="Arial" w:eastAsia="Arial" w:hAnsi="Arial" w:cs="Arial"/>
        <w:sz w:val="18"/>
      </w:rPr>
      <w:t xml:space="preserve">Specyfikacja została sporządzona w systemie                       na podstawie </w:t>
    </w:r>
    <w:proofErr w:type="spellStart"/>
    <w:r>
      <w:rPr>
        <w:rFonts w:ascii="Arial" w:eastAsia="Arial" w:hAnsi="Arial" w:cs="Arial"/>
        <w:sz w:val="18"/>
      </w:rPr>
      <w:t>standardowej</w:t>
    </w:r>
    <w:r>
      <w:rPr>
        <w:rFonts w:ascii="Arial" w:eastAsia="Arial" w:hAnsi="Arial" w:cs="Arial"/>
        <w:b/>
        <w:color w:val="004D92"/>
        <w:sz w:val="18"/>
      </w:rPr>
      <w:t>SEKOSEKO</w:t>
    </w:r>
    <w:r>
      <w:rPr>
        <w:rFonts w:ascii="Arial" w:eastAsia="Arial" w:hAnsi="Arial" w:cs="Arial"/>
        <w:color w:val="3399CC"/>
        <w:sz w:val="22"/>
      </w:rPr>
      <w:t>specspec</w:t>
    </w:r>
    <w:proofErr w:type="spellEnd"/>
    <w:r>
      <w:rPr>
        <w:rFonts w:ascii="Arial" w:eastAsia="Arial" w:hAnsi="Arial" w:cs="Arial"/>
        <w:color w:val="3399CC"/>
        <w:sz w:val="22"/>
      </w:rPr>
      <w:t xml:space="preserve"> </w:t>
    </w:r>
    <w:r>
      <w:rPr>
        <w:rFonts w:ascii="Arial" w:eastAsia="Arial" w:hAnsi="Arial" w:cs="Arial"/>
        <w:sz w:val="18"/>
      </w:rPr>
      <w:t xml:space="preserve">specyfikacji technicznej opracowanej przez OWEOB Promocja Sp. z </w:t>
    </w:r>
    <w:proofErr w:type="spellStart"/>
    <w:r>
      <w:rPr>
        <w:rFonts w:ascii="Arial" w:eastAsia="Arial" w:hAnsi="Arial" w:cs="Arial"/>
        <w:sz w:val="18"/>
      </w:rPr>
      <w:t>o.o.OWEOB</w:t>
    </w:r>
    <w:proofErr w:type="spellEnd"/>
    <w:r>
      <w:rPr>
        <w:rFonts w:ascii="Arial" w:eastAsia="Arial" w:hAnsi="Arial" w:cs="Arial"/>
        <w:sz w:val="18"/>
      </w:rPr>
      <w:t xml:space="preserve"> Promocja Sp. z o.o. 2005 </w:t>
    </w:r>
  </w:p>
  <w:p w:rsidR="002A0D61" w:rsidRDefault="00BF2516">
    <w:pPr>
      <w:spacing w:after="0" w:line="240" w:lineRule="auto"/>
      <w:ind w:left="0" w:right="0" w:firstLine="0"/>
      <w:jc w:val="right"/>
    </w:pPr>
    <w:r>
      <w:fldChar w:fldCharType="begin"/>
    </w:r>
    <w:r>
      <w:instrText xml:space="preserve"> PAGE   \* MERGEFORMAT </w:instrText>
    </w:r>
    <w:r>
      <w:fldChar w:fldCharType="separate"/>
    </w:r>
    <w:r>
      <w:rPr>
        <w:rFonts w:ascii="Arial" w:eastAsia="Arial" w:hAnsi="Arial" w:cs="Arial"/>
        <w:sz w:val="18"/>
      </w:rPr>
      <w:t>2</w:t>
    </w:r>
    <w:r>
      <w:rPr>
        <w:rFonts w:ascii="Arial" w:eastAsia="Arial" w:hAnsi="Arial" w:cs="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pPr>
      <w:spacing w:after="0" w:line="227" w:lineRule="auto"/>
      <w:ind w:left="592" w:right="408" w:hanging="592"/>
      <w:jc w:val="left"/>
    </w:pPr>
    <w:r>
      <w:rPr>
        <w:rFonts w:ascii="Arial" w:eastAsia="Arial" w:hAnsi="Arial" w:cs="Arial"/>
        <w:sz w:val="18"/>
      </w:rPr>
      <w:t xml:space="preserve">Specyfikacja została sporządzona w systemie                       na podstawie </w:t>
    </w:r>
    <w:proofErr w:type="spellStart"/>
    <w:r>
      <w:rPr>
        <w:rFonts w:ascii="Arial" w:eastAsia="Arial" w:hAnsi="Arial" w:cs="Arial"/>
        <w:sz w:val="18"/>
      </w:rPr>
      <w:t>standardowej</w:t>
    </w:r>
    <w:r>
      <w:rPr>
        <w:rFonts w:ascii="Arial" w:eastAsia="Arial" w:hAnsi="Arial" w:cs="Arial"/>
        <w:b/>
        <w:color w:val="004D92"/>
        <w:sz w:val="18"/>
      </w:rPr>
      <w:t>SEKOSEKO</w:t>
    </w:r>
    <w:r>
      <w:rPr>
        <w:rFonts w:ascii="Arial" w:eastAsia="Arial" w:hAnsi="Arial" w:cs="Arial"/>
        <w:color w:val="3399CC"/>
        <w:sz w:val="22"/>
      </w:rPr>
      <w:t>specspec</w:t>
    </w:r>
    <w:proofErr w:type="spellEnd"/>
    <w:r>
      <w:rPr>
        <w:rFonts w:ascii="Arial" w:eastAsia="Arial" w:hAnsi="Arial" w:cs="Arial"/>
        <w:color w:val="3399CC"/>
        <w:sz w:val="22"/>
      </w:rPr>
      <w:t xml:space="preserve"> </w:t>
    </w:r>
    <w:r>
      <w:rPr>
        <w:rFonts w:ascii="Arial" w:eastAsia="Arial" w:hAnsi="Arial" w:cs="Arial"/>
        <w:sz w:val="18"/>
      </w:rPr>
      <w:t xml:space="preserve">specyfikacji technicznej opracowanej przez OWEOB Promocja Sp. z </w:t>
    </w:r>
    <w:proofErr w:type="spellStart"/>
    <w:r>
      <w:rPr>
        <w:rFonts w:ascii="Arial" w:eastAsia="Arial" w:hAnsi="Arial" w:cs="Arial"/>
        <w:sz w:val="18"/>
      </w:rPr>
      <w:t>o.o.OWEOB</w:t>
    </w:r>
    <w:proofErr w:type="spellEnd"/>
    <w:r>
      <w:rPr>
        <w:rFonts w:ascii="Arial" w:eastAsia="Arial" w:hAnsi="Arial" w:cs="Arial"/>
        <w:sz w:val="18"/>
      </w:rPr>
      <w:t xml:space="preserve"> Promocja Sp. z o.o. 2005 </w:t>
    </w:r>
  </w:p>
  <w:p w:rsidR="002A0D61" w:rsidRDefault="00BF2516">
    <w:pPr>
      <w:spacing w:after="0" w:line="240" w:lineRule="auto"/>
      <w:ind w:left="0" w:right="0" w:firstLine="0"/>
      <w:jc w:val="right"/>
    </w:pPr>
    <w:r>
      <w:fldChar w:fldCharType="begin"/>
    </w:r>
    <w:r>
      <w:instrText xml:space="preserve"> PAGE   \* MERGEFORMAT </w:instrText>
    </w:r>
    <w:r>
      <w:fldChar w:fldCharType="separate"/>
    </w:r>
    <w:r w:rsidR="00E06010" w:rsidRPr="00E06010">
      <w:rPr>
        <w:rFonts w:ascii="Arial" w:eastAsia="Arial" w:hAnsi="Arial" w:cs="Arial"/>
        <w:noProof/>
        <w:sz w:val="18"/>
      </w:rPr>
      <w:t>8</w:t>
    </w:r>
    <w:r>
      <w:rPr>
        <w:rFonts w:ascii="Arial" w:eastAsia="Arial" w:hAnsi="Arial" w:cs="Arial"/>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2A0D61">
    <w:pPr>
      <w:spacing w:after="0" w:line="276" w:lineRule="auto"/>
      <w:ind w:left="0" w:righ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pPr>
      <w:spacing w:after="0" w:line="227" w:lineRule="auto"/>
      <w:ind w:left="592" w:right="408" w:hanging="592"/>
      <w:jc w:val="left"/>
    </w:pPr>
    <w:r>
      <w:rPr>
        <w:rFonts w:ascii="Arial" w:eastAsia="Arial" w:hAnsi="Arial" w:cs="Arial"/>
        <w:sz w:val="18"/>
      </w:rPr>
      <w:t xml:space="preserve">Specyfikacja została sporządzona w systemie                       na podstawie </w:t>
    </w:r>
    <w:proofErr w:type="spellStart"/>
    <w:r>
      <w:rPr>
        <w:rFonts w:ascii="Arial" w:eastAsia="Arial" w:hAnsi="Arial" w:cs="Arial"/>
        <w:sz w:val="18"/>
      </w:rPr>
      <w:t>standardowej</w:t>
    </w:r>
    <w:r>
      <w:rPr>
        <w:rFonts w:ascii="Arial" w:eastAsia="Arial" w:hAnsi="Arial" w:cs="Arial"/>
        <w:b/>
        <w:color w:val="004D92"/>
        <w:sz w:val="18"/>
      </w:rPr>
      <w:t>SEKOSEKO</w:t>
    </w:r>
    <w:r>
      <w:rPr>
        <w:rFonts w:ascii="Arial" w:eastAsia="Arial" w:hAnsi="Arial" w:cs="Arial"/>
        <w:color w:val="3399CC"/>
        <w:sz w:val="22"/>
      </w:rPr>
      <w:t>specspec</w:t>
    </w:r>
    <w:proofErr w:type="spellEnd"/>
    <w:r>
      <w:rPr>
        <w:rFonts w:ascii="Arial" w:eastAsia="Arial" w:hAnsi="Arial" w:cs="Arial"/>
        <w:color w:val="3399CC"/>
        <w:sz w:val="22"/>
      </w:rPr>
      <w:t xml:space="preserve"> </w:t>
    </w:r>
    <w:r>
      <w:rPr>
        <w:rFonts w:ascii="Arial" w:eastAsia="Arial" w:hAnsi="Arial" w:cs="Arial"/>
        <w:sz w:val="18"/>
      </w:rPr>
      <w:t xml:space="preserve">specyfikacji technicznej opracowanej przez OWEOB Promocja Sp. z </w:t>
    </w:r>
    <w:proofErr w:type="spellStart"/>
    <w:r>
      <w:rPr>
        <w:rFonts w:ascii="Arial" w:eastAsia="Arial" w:hAnsi="Arial" w:cs="Arial"/>
        <w:sz w:val="18"/>
      </w:rPr>
      <w:t>o.o.OWEOB</w:t>
    </w:r>
    <w:proofErr w:type="spellEnd"/>
    <w:r>
      <w:rPr>
        <w:rFonts w:ascii="Arial" w:eastAsia="Arial" w:hAnsi="Arial" w:cs="Arial"/>
        <w:sz w:val="18"/>
      </w:rPr>
      <w:t xml:space="preserve"> Promocja Sp. z o.o. 2005 </w:t>
    </w:r>
  </w:p>
  <w:p w:rsidR="002A0D61" w:rsidRDefault="00BF2516">
    <w:pPr>
      <w:spacing w:after="0" w:line="240" w:lineRule="auto"/>
      <w:ind w:left="0" w:right="0" w:firstLine="0"/>
      <w:jc w:val="right"/>
    </w:pPr>
    <w:r>
      <w:fldChar w:fldCharType="begin"/>
    </w:r>
    <w:r>
      <w:instrText xml:space="preserve"> PAGE   \* MERGEFORMAT </w:instrText>
    </w:r>
    <w:r>
      <w:fldChar w:fldCharType="separate"/>
    </w:r>
    <w:r>
      <w:rPr>
        <w:rFonts w:ascii="Arial" w:eastAsia="Arial" w:hAnsi="Arial" w:cs="Arial"/>
        <w:sz w:val="18"/>
      </w:rPr>
      <w:t>10</w:t>
    </w:r>
    <w:r>
      <w:rPr>
        <w:rFonts w:ascii="Arial" w:eastAsia="Arial" w:hAnsi="Arial" w:cs="Arial"/>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pPr>
      <w:spacing w:after="0" w:line="227" w:lineRule="auto"/>
      <w:ind w:left="592" w:right="408" w:hanging="592"/>
      <w:jc w:val="left"/>
    </w:pPr>
    <w:r>
      <w:rPr>
        <w:rFonts w:ascii="Arial" w:eastAsia="Arial" w:hAnsi="Arial" w:cs="Arial"/>
        <w:sz w:val="18"/>
      </w:rPr>
      <w:t xml:space="preserve">Specyfikacja została sporządzona w systemie                       na podstawie </w:t>
    </w:r>
    <w:proofErr w:type="spellStart"/>
    <w:r>
      <w:rPr>
        <w:rFonts w:ascii="Arial" w:eastAsia="Arial" w:hAnsi="Arial" w:cs="Arial"/>
        <w:sz w:val="18"/>
      </w:rPr>
      <w:t>standardowej</w:t>
    </w:r>
    <w:r>
      <w:rPr>
        <w:rFonts w:ascii="Arial" w:eastAsia="Arial" w:hAnsi="Arial" w:cs="Arial"/>
        <w:b/>
        <w:color w:val="004D92"/>
        <w:sz w:val="18"/>
      </w:rPr>
      <w:t>SEKOSEKO</w:t>
    </w:r>
    <w:r>
      <w:rPr>
        <w:rFonts w:ascii="Arial" w:eastAsia="Arial" w:hAnsi="Arial" w:cs="Arial"/>
        <w:color w:val="3399CC"/>
        <w:sz w:val="22"/>
      </w:rPr>
      <w:t>specspec</w:t>
    </w:r>
    <w:proofErr w:type="spellEnd"/>
    <w:r>
      <w:rPr>
        <w:rFonts w:ascii="Arial" w:eastAsia="Arial" w:hAnsi="Arial" w:cs="Arial"/>
        <w:color w:val="3399CC"/>
        <w:sz w:val="22"/>
      </w:rPr>
      <w:t xml:space="preserve"> </w:t>
    </w:r>
    <w:r>
      <w:rPr>
        <w:rFonts w:ascii="Arial" w:eastAsia="Arial" w:hAnsi="Arial" w:cs="Arial"/>
        <w:sz w:val="18"/>
      </w:rPr>
      <w:t xml:space="preserve">specyfikacji technicznej opracowanej przez OWEOB Promocja Sp. z </w:t>
    </w:r>
    <w:proofErr w:type="spellStart"/>
    <w:r>
      <w:rPr>
        <w:rFonts w:ascii="Arial" w:eastAsia="Arial" w:hAnsi="Arial" w:cs="Arial"/>
        <w:sz w:val="18"/>
      </w:rPr>
      <w:t>o.o.OWEOB</w:t>
    </w:r>
    <w:proofErr w:type="spellEnd"/>
    <w:r>
      <w:rPr>
        <w:rFonts w:ascii="Arial" w:eastAsia="Arial" w:hAnsi="Arial" w:cs="Arial"/>
        <w:sz w:val="18"/>
      </w:rPr>
      <w:t xml:space="preserve"> Promocja Sp. z o.o. 2005 </w:t>
    </w:r>
  </w:p>
  <w:p w:rsidR="002A0D61" w:rsidRDefault="00BF2516">
    <w:pPr>
      <w:spacing w:after="0" w:line="240" w:lineRule="auto"/>
      <w:ind w:left="0" w:right="0" w:firstLine="0"/>
      <w:jc w:val="right"/>
    </w:pPr>
    <w:r>
      <w:fldChar w:fldCharType="begin"/>
    </w:r>
    <w:r>
      <w:instrText xml:space="preserve"> PAGE   \* MERGEFORMAT </w:instrText>
    </w:r>
    <w:r>
      <w:fldChar w:fldCharType="separate"/>
    </w:r>
    <w:r w:rsidR="00E06010" w:rsidRPr="00E06010">
      <w:rPr>
        <w:rFonts w:ascii="Arial" w:eastAsia="Arial" w:hAnsi="Arial" w:cs="Arial"/>
        <w:noProof/>
        <w:sz w:val="18"/>
      </w:rPr>
      <w:t>19</w:t>
    </w:r>
    <w:r>
      <w:rPr>
        <w:rFonts w:ascii="Arial" w:eastAsia="Arial" w:hAnsi="Arial" w:cs="Arial"/>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pPr>
      <w:spacing w:after="0" w:line="227" w:lineRule="auto"/>
      <w:ind w:left="592" w:right="408" w:hanging="592"/>
      <w:jc w:val="left"/>
    </w:pPr>
    <w:r>
      <w:rPr>
        <w:rFonts w:ascii="Arial" w:eastAsia="Arial" w:hAnsi="Arial" w:cs="Arial"/>
        <w:sz w:val="18"/>
      </w:rPr>
      <w:t xml:space="preserve">Specyfikacja została sporządzona w systemie                       na podstawie </w:t>
    </w:r>
    <w:proofErr w:type="spellStart"/>
    <w:r>
      <w:rPr>
        <w:rFonts w:ascii="Arial" w:eastAsia="Arial" w:hAnsi="Arial" w:cs="Arial"/>
        <w:sz w:val="18"/>
      </w:rPr>
      <w:t>standardowej</w:t>
    </w:r>
    <w:r>
      <w:rPr>
        <w:rFonts w:ascii="Arial" w:eastAsia="Arial" w:hAnsi="Arial" w:cs="Arial"/>
        <w:b/>
        <w:color w:val="004D92"/>
        <w:sz w:val="18"/>
      </w:rPr>
      <w:t>SEKOSEKO</w:t>
    </w:r>
    <w:r>
      <w:rPr>
        <w:rFonts w:ascii="Arial" w:eastAsia="Arial" w:hAnsi="Arial" w:cs="Arial"/>
        <w:color w:val="3399CC"/>
        <w:sz w:val="22"/>
      </w:rPr>
      <w:t>specspec</w:t>
    </w:r>
    <w:proofErr w:type="spellEnd"/>
    <w:r>
      <w:rPr>
        <w:rFonts w:ascii="Arial" w:eastAsia="Arial" w:hAnsi="Arial" w:cs="Arial"/>
        <w:color w:val="3399CC"/>
        <w:sz w:val="22"/>
      </w:rPr>
      <w:t xml:space="preserve"> </w:t>
    </w:r>
    <w:r>
      <w:rPr>
        <w:rFonts w:ascii="Arial" w:eastAsia="Arial" w:hAnsi="Arial" w:cs="Arial"/>
        <w:sz w:val="18"/>
      </w:rPr>
      <w:t xml:space="preserve">specyfikacji technicznej opracowanej przez OWEOB Promocja Sp. z </w:t>
    </w:r>
    <w:proofErr w:type="spellStart"/>
    <w:r>
      <w:rPr>
        <w:rFonts w:ascii="Arial" w:eastAsia="Arial" w:hAnsi="Arial" w:cs="Arial"/>
        <w:sz w:val="18"/>
      </w:rPr>
      <w:t>o.o.OWEOB</w:t>
    </w:r>
    <w:proofErr w:type="spellEnd"/>
    <w:r>
      <w:rPr>
        <w:rFonts w:ascii="Arial" w:eastAsia="Arial" w:hAnsi="Arial" w:cs="Arial"/>
        <w:sz w:val="18"/>
      </w:rPr>
      <w:t xml:space="preserve"> Promocja Sp. z o.o. 2005 </w:t>
    </w:r>
  </w:p>
  <w:p w:rsidR="002A0D61" w:rsidRDefault="00BF2516">
    <w:pPr>
      <w:spacing w:after="0" w:line="240" w:lineRule="auto"/>
      <w:ind w:left="0" w:right="0" w:firstLine="0"/>
      <w:jc w:val="right"/>
    </w:pPr>
    <w:r>
      <w:fldChar w:fldCharType="begin"/>
    </w:r>
    <w:r>
      <w:instrText xml:space="preserve"> PAGE   \* MERGEFORMAT </w:instrText>
    </w:r>
    <w:r>
      <w:fldChar w:fldCharType="separate"/>
    </w:r>
    <w:r>
      <w:rPr>
        <w:rFonts w:ascii="Arial" w:eastAsia="Arial" w:hAnsi="Arial" w:cs="Arial"/>
        <w:sz w:val="18"/>
      </w:rPr>
      <w:t>10</w:t>
    </w:r>
    <w:r>
      <w:rPr>
        <w:rFonts w:ascii="Arial" w:eastAsia="Arial" w:hAnsi="Arial"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516" w:rsidRDefault="00BF2516">
      <w:pPr>
        <w:spacing w:after="0" w:line="240" w:lineRule="auto"/>
      </w:pPr>
      <w:r>
        <w:separator/>
      </w:r>
    </w:p>
  </w:footnote>
  <w:footnote w:type="continuationSeparator" w:id="0">
    <w:p w:rsidR="00BF2516" w:rsidRDefault="00BF2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r>
      <w:rPr>
        <w:noProof/>
        <w:sz w:val="22"/>
      </w:rPr>
      <mc:AlternateContent>
        <mc:Choice Requires="wpg">
          <w:drawing>
            <wp:anchor distT="0" distB="0" distL="114300" distR="114300" simplePos="0" relativeHeight="251658240" behindDoc="1" locked="0" layoutInCell="1" allowOverlap="1">
              <wp:simplePos x="0" y="0"/>
              <wp:positionH relativeFrom="page">
                <wp:posOffset>720090</wp:posOffset>
              </wp:positionH>
              <wp:positionV relativeFrom="page">
                <wp:posOffset>720090</wp:posOffset>
              </wp:positionV>
              <wp:extent cx="6131814" cy="9265920"/>
              <wp:effectExtent l="0" t="0" r="0" b="0"/>
              <wp:wrapNone/>
              <wp:docPr id="25918" name="Group 25918"/>
              <wp:cNvGraphicFramePr/>
              <a:graphic xmlns:a="http://schemas.openxmlformats.org/drawingml/2006/main">
                <a:graphicData uri="http://schemas.microsoft.com/office/word/2010/wordprocessingGroup">
                  <wpg:wgp>
                    <wpg:cNvGrpSpPr/>
                    <wpg:grpSpPr>
                      <a:xfrm>
                        <a:off x="0" y="0"/>
                        <a:ext cx="6131814" cy="9265920"/>
                        <a:chOff x="0" y="0"/>
                        <a:chExt cx="6131814" cy="9265920"/>
                      </a:xfrm>
                    </wpg:grpSpPr>
                    <wps:wsp>
                      <wps:cNvPr id="26508" name="Shape 26508"/>
                      <wps:cNvSpPr/>
                      <wps:spPr>
                        <a:xfrm>
                          <a:off x="0" y="0"/>
                          <a:ext cx="6131814" cy="9265920"/>
                        </a:xfrm>
                        <a:custGeom>
                          <a:avLst/>
                          <a:gdLst/>
                          <a:ahLst/>
                          <a:cxnLst/>
                          <a:rect l="0" t="0" r="0" b="0"/>
                          <a:pathLst>
                            <a:path w="6131814" h="9265920">
                              <a:moveTo>
                                <a:pt x="0" y="0"/>
                              </a:moveTo>
                              <a:lnTo>
                                <a:pt x="6131814" y="0"/>
                              </a:lnTo>
                              <a:lnTo>
                                <a:pt x="6131814" y="9265920"/>
                              </a:lnTo>
                              <a:lnTo>
                                <a:pt x="0" y="9265920"/>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65AF4C0A" id="Group 25918" o:spid="_x0000_s1026" style="position:absolute;margin-left:56.7pt;margin-top:56.7pt;width:482.8pt;height:729.6pt;z-index:-251658240;mso-position-horizontal-relative:page;mso-position-vertical-relative:page" coordsize="61318,92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bUcwIAAE4GAAAOAAAAZHJzL2Uyb0RvYy54bWykVclu2zAQvRfoPxC611pau7FgOYem8aVo&#10;gyb9AJqiFoAiCZK27L/vcCTRioM2QKKDPCLfbG8Wb25PnSBHbmyrZBGliyQiXDJVtrIuoj9P959u&#10;ImIdlSUVSvIiOnMb3W4/ftj0OueZapQouSFgRNq810XUOKfzOLas4R21C6W5hMtKmY46+DR1XBra&#10;g/VOxFmSrOJemVIbxbi1cHo3XEZbtF9VnLlfVWW5I6KIIDaHb4PvvX/H2w3Na0N107IxDPqGKDra&#10;SnAaTN1RR8nBtC9MdS0zyqrKLZjqYlVVLeOYA2STJlfZ7Iw6aMylzvtaB5qA2iue3myW/Tw+GNKW&#10;RZQt1ykUS9IOyoSeyXAEFPW6zgG5M/pRP5jxoB6+fNanynT+F/IhJyT3HMjlJ0cYHK7Sz+lN+iUi&#10;DO7W2Wq5zkb6WQM1eqHHmu+vaMaT49jHF8LpNbSSvbBl38fWY0M1xyJYz8HE1mqZBLYQQiAlOEJy&#10;EBmosrkF1t7LU8iW5uxg3Y4rpJwef1g3dHE5SbSZJHaSk2hgFv47BZo6r+fj9CLpZzVrLiXz9506&#10;8ieFSHdVOAjzcivkHBU6YGoOwE6I6VejvTly1ir/xMNkP2+qV5DYeAEDgk94uxkFJAHkOc1Cej7A&#10;D6OwpSpBHY571zpYX6LtYPdlX5PkYhis+UYcKo+SOwvuKRPyN69g5HBQ/IE19f6bMORI/ZLCx7cR&#10;xgdQD6laIYJWiq6fad3jM2qNYK/HcQUGzWTQZKPDYQ/CNoG8pm0IXoMSelbSBX0JOxydzBLy4l6V&#10;Z9wLmDMMH2aPSwvzGBes34rzb0Rd/ga2fwEAAP//AwBQSwMEFAAGAAgAAAAhAJwxgy/gAAAADQEA&#10;AA8AAABkcnMvZG93bnJldi54bWxMj81qwzAQhO+FvoPYQm+N7KT5qWs5hND2FAJNCqG3jbWxTSzJ&#10;WIrtvH03h9LeZtiP2Zl0OZhadNT6ylkF8SgCQTZ3urKFgq/9+9MChA9oNdbOkoIreVhm93cpJtr1&#10;9pO6XSgEh1ifoIIyhCaR0uclGfQj15Dl28m1BgPbtpC6xZ7DTS3HUTSTBivLH0psaF1Sft5djIKP&#10;HvvVJH7rNufT+vq9n24Pm5iUenwYVq8gAg3hD4Zbfa4OGXc6uovVXtTs48kzo7/iRkTzF553ZDWd&#10;j2cgs1T+X5H9AAAA//8DAFBLAQItABQABgAIAAAAIQC2gziS/gAAAOEBAAATAAAAAAAAAAAAAAAA&#10;AAAAAABbQ29udGVudF9UeXBlc10ueG1sUEsBAi0AFAAGAAgAAAAhADj9If/WAAAAlAEAAAsAAAAA&#10;AAAAAAAAAAAALwEAAF9yZWxzLy5yZWxzUEsBAi0AFAAGAAgAAAAhAGyhJtRzAgAATgYAAA4AAAAA&#10;AAAAAAAAAAAALgIAAGRycy9lMm9Eb2MueG1sUEsBAi0AFAAGAAgAAAAhAJwxgy/gAAAADQEAAA8A&#10;AAAAAAAAAAAAAAAAzQQAAGRycy9kb3ducmV2LnhtbFBLBQYAAAAABAAEAPMAAADaBQAAAAA=&#10;">
              <v:shape id="Shape 26508" o:spid="_x0000_s1027" style="position:absolute;width:61318;height:92659;visibility:visible;mso-wrap-style:square;v-text-anchor:top" coordsize="6131814,92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e9gcAA&#10;AADeAAAADwAAAGRycy9kb3ducmV2LnhtbERPy4rCMBTdC/5DuIIb0URB0WoUEQTF1dRh1pfm9oHN&#10;TWlirX9vFsIsD+e9O/S2Fh21vnKsYT5TIIgzZyouNPzez9M1CB+QDdaOScObPBz2w8EOE+Ne/ENd&#10;GgoRQ9gnqKEMoUmk9FlJFv3MNcSRy11rMUTYFtK0+IrhtpYLpVbSYsWxocSGTiVlj/RpNVzT+W3z&#10;vOeZsflaTnr17v6KVOvxqD9uQQTqw7/4674YDYvVUsW98U68An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e9gcAAAADeAAAADwAAAAAAAAAAAAAAAACYAgAAZHJzL2Rvd25y&#10;ZXYueG1sUEsFBgAAAAAEAAQA9QAAAIUDAAAAAA==&#10;" path="m,l6131814,r,9265920l,9265920,,e" stroked="f" strokeweight="0">
                <v:stroke miterlimit="83231f" joinstyle="miter"/>
                <v:path arrowok="t" textboxrect="0,0,6131814,9265920"/>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r>
      <w:rPr>
        <w:noProof/>
        <w:sz w:val="22"/>
      </w:rPr>
      <mc:AlternateContent>
        <mc:Choice Requires="wpg">
          <w:drawing>
            <wp:anchor distT="0" distB="0" distL="114300" distR="114300" simplePos="0" relativeHeight="251659264" behindDoc="1" locked="0" layoutInCell="1" allowOverlap="1">
              <wp:simplePos x="0" y="0"/>
              <wp:positionH relativeFrom="page">
                <wp:posOffset>720090</wp:posOffset>
              </wp:positionH>
              <wp:positionV relativeFrom="page">
                <wp:posOffset>720090</wp:posOffset>
              </wp:positionV>
              <wp:extent cx="6131814" cy="9265920"/>
              <wp:effectExtent l="0" t="0" r="0" b="0"/>
              <wp:wrapNone/>
              <wp:docPr id="25895" name="Group 25895"/>
              <wp:cNvGraphicFramePr/>
              <a:graphic xmlns:a="http://schemas.openxmlformats.org/drawingml/2006/main">
                <a:graphicData uri="http://schemas.microsoft.com/office/word/2010/wordprocessingGroup">
                  <wpg:wgp>
                    <wpg:cNvGrpSpPr/>
                    <wpg:grpSpPr>
                      <a:xfrm>
                        <a:off x="0" y="0"/>
                        <a:ext cx="6131814" cy="9265920"/>
                        <a:chOff x="0" y="0"/>
                        <a:chExt cx="6131814" cy="9265920"/>
                      </a:xfrm>
                    </wpg:grpSpPr>
                    <wps:wsp>
                      <wps:cNvPr id="26507" name="Shape 26507"/>
                      <wps:cNvSpPr/>
                      <wps:spPr>
                        <a:xfrm>
                          <a:off x="0" y="0"/>
                          <a:ext cx="6131814" cy="9265920"/>
                        </a:xfrm>
                        <a:custGeom>
                          <a:avLst/>
                          <a:gdLst/>
                          <a:ahLst/>
                          <a:cxnLst/>
                          <a:rect l="0" t="0" r="0" b="0"/>
                          <a:pathLst>
                            <a:path w="6131814" h="9265920">
                              <a:moveTo>
                                <a:pt x="0" y="0"/>
                              </a:moveTo>
                              <a:lnTo>
                                <a:pt x="6131814" y="0"/>
                              </a:lnTo>
                              <a:lnTo>
                                <a:pt x="6131814" y="9265920"/>
                              </a:lnTo>
                              <a:lnTo>
                                <a:pt x="0" y="9265920"/>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27C2EACB" id="Group 25895" o:spid="_x0000_s1026" style="position:absolute;margin-left:56.7pt;margin-top:56.7pt;width:482.8pt;height:729.6pt;z-index:-251657216;mso-position-horizontal-relative:page;mso-position-vertical-relative:page" coordsize="61318,92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ymNdQIAAE4GAAAOAAAAZHJzL2Uyb0RvYy54bWykVclu2zAQvRfoPxC615LV2rEFyzk0jS9F&#10;GyTpB9AUtQAUSZC0Zf99hyOJVhy0ARId5BH5ZnuzeHN7agU5cmMbJfNoPksiwiVTRSOrPPrzfP9l&#10;FRHrqCyoUJLn0Znb6Hb7+dOm0xlPVa1EwQ0BI9Jmnc6j2jmdxbFlNW+pnSnNJVyWyrTUwaep4sLQ&#10;Dqy3Ik6TZBl3yhTaKMathdO7/jLaov2y5Mz9LkvLHRF5BLE5fBt87/073m5oVhmq64YNYdB3RNHS&#10;RoLTYOqOOkoOpnllqm2YUVaVbsZUG6uybBjHHCCbeXKVzc6og8ZcqqyrdKAJqL3i6d1m2a/jgyFN&#10;kUfpYrVeRETSFsqEnkl/BBR1usoAuTP6ST+Y4aDqv3zWp9K0/hfyISck9xzI5SdHGBwu51/nq/m3&#10;iDC4W6fLxTod6Gc11OiVHqt/vKEZj45jH18Ip9PQSvbClv0YW0811RyLYD0HI1vLRXIzsoUQAinB&#10;EZKDyECVzSyw9lGeQrY0Ywfrdlwh5fT407q+i4tRovUosZMcRQOz8N8p0NR5PR+nF0k3qVl9KZm/&#10;b9WRPytEuqvCQZiXWyGnqNABY3MAdkSMvxrtTZGTVvknHib7ZVO9gcTGCxgQfMLbzSAgCSBPaRbS&#10;8wF+GIUtVQrqcNzbxsH6Ek0Luy+9SZKLYbDmG7GvPEruLLinTMhHXsLI4aD4A2uq/XdhyJH6JYWP&#10;byOMD6AeUjZCBK05un6hdY/PoDWAvR7HFRg0k16TDQ77PQjbBPIatyF4DUroWUkX9CXscHQySciL&#10;e1WccS9gzjB8mD0uLcxjWLB+K06/EXX5G9j+BQAA//8DAFBLAwQUAAYACAAAACEAnDGDL+AAAAAN&#10;AQAADwAAAGRycy9kb3ducmV2LnhtbEyPzWrDMBCE74W+g9hCb43spPmpazmE0PYUAk0KobeNtbFN&#10;LMlYiu28fTeH0t5m2I/ZmXQ5mFp01PrKWQXxKAJBNne6soWCr/370wKED2g11s6Sgit5WGb3dykm&#10;2vX2k7pdKASHWJ+ggjKEJpHS5yUZ9CPXkOXbybUGA9u2kLrFnsNNLcdRNJMGK8sfSmxoXVJ+3l2M&#10;go8e+9Ukfus259P6+r2fbg+bmJR6fBhWryACDeEPhlt9rg4Zdzq6i9Ve1OzjyTOjv+JGRPMXnndk&#10;NZ2PZyCzVP5fkf0AAAD//wMAUEsBAi0AFAAGAAgAAAAhALaDOJL+AAAA4QEAABMAAAAAAAAAAAAA&#10;AAAAAAAAAFtDb250ZW50X1R5cGVzXS54bWxQSwECLQAUAAYACAAAACEAOP0h/9YAAACUAQAACwAA&#10;AAAAAAAAAAAAAAAvAQAAX3JlbHMvLnJlbHNQSwECLQAUAAYACAAAACEAZbcpjXUCAABOBgAADgAA&#10;AAAAAAAAAAAAAAAuAgAAZHJzL2Uyb0RvYy54bWxQSwECLQAUAAYACAAAACEAnDGDL+AAAAANAQAA&#10;DwAAAAAAAAAAAAAAAADPBAAAZHJzL2Rvd25yZXYueG1sUEsFBgAAAAAEAAQA8wAAANwFAAAAAA==&#10;">
              <v:shape id="Shape 26507" o:spid="_x0000_s1027" style="position:absolute;width:61318;height:92659;visibility:visible;mso-wrap-style:square;v-text-anchor:top" coordsize="6131814,92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gp88UA&#10;AADeAAAADwAAAGRycy9kb3ducmV2LnhtbESPS4sCMRCE78L+h9DCXmRNFHyNRlkEYRdPjrLnZtLz&#10;wElnmMRx/PcbQfBYVNVX1GbX21p01PrKsYbJWIEgzpypuNBwOR++liB8QDZYOyYND/Kw234MNpgY&#10;d+cTdWkoRISwT1BDGUKTSOmzkiz6sWuIo5e71mKIsi2kafEe4baWU6Xm0mLFcaHEhvYlZdf0ZjX8&#10;ppPj6nbOM2PzpRz16tH9FanWn8P+ew0iUB/e4Vf7x2iYzmdqAc878QrI7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CnzxQAAAN4AAAAPAAAAAAAAAAAAAAAAAJgCAABkcnMv&#10;ZG93bnJldi54bWxQSwUGAAAAAAQABAD1AAAAigMAAAAA&#10;" path="m,l6131814,r,9265920l,9265920,,e" stroked="f" strokeweight="0">
                <v:stroke miterlimit="83231f" joinstyle="miter"/>
                <v:path arrowok="t" textboxrect="0,0,6131814,9265920"/>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r>
      <w:rPr>
        <w:noProof/>
        <w:sz w:val="22"/>
      </w:rPr>
      <mc:AlternateContent>
        <mc:Choice Requires="wpg">
          <w:drawing>
            <wp:anchor distT="0" distB="0" distL="114300" distR="114300" simplePos="0" relativeHeight="251660288" behindDoc="1" locked="0" layoutInCell="1" allowOverlap="1">
              <wp:simplePos x="0" y="0"/>
              <wp:positionH relativeFrom="page">
                <wp:posOffset>720090</wp:posOffset>
              </wp:positionH>
              <wp:positionV relativeFrom="page">
                <wp:posOffset>720090</wp:posOffset>
              </wp:positionV>
              <wp:extent cx="6131814" cy="9265920"/>
              <wp:effectExtent l="0" t="0" r="0" b="0"/>
              <wp:wrapNone/>
              <wp:docPr id="25891" name="Group 25891"/>
              <wp:cNvGraphicFramePr/>
              <a:graphic xmlns:a="http://schemas.openxmlformats.org/drawingml/2006/main">
                <a:graphicData uri="http://schemas.microsoft.com/office/word/2010/wordprocessingGroup">
                  <wpg:wgp>
                    <wpg:cNvGrpSpPr/>
                    <wpg:grpSpPr>
                      <a:xfrm>
                        <a:off x="0" y="0"/>
                        <a:ext cx="6131814" cy="9265920"/>
                        <a:chOff x="0" y="0"/>
                        <a:chExt cx="6131814" cy="9265920"/>
                      </a:xfrm>
                    </wpg:grpSpPr>
                    <wps:wsp>
                      <wps:cNvPr id="26506" name="Shape 26506"/>
                      <wps:cNvSpPr/>
                      <wps:spPr>
                        <a:xfrm>
                          <a:off x="0" y="0"/>
                          <a:ext cx="6131814" cy="9265920"/>
                        </a:xfrm>
                        <a:custGeom>
                          <a:avLst/>
                          <a:gdLst/>
                          <a:ahLst/>
                          <a:cxnLst/>
                          <a:rect l="0" t="0" r="0" b="0"/>
                          <a:pathLst>
                            <a:path w="6131814" h="9265920">
                              <a:moveTo>
                                <a:pt x="0" y="0"/>
                              </a:moveTo>
                              <a:lnTo>
                                <a:pt x="6131814" y="0"/>
                              </a:lnTo>
                              <a:lnTo>
                                <a:pt x="6131814" y="9265920"/>
                              </a:lnTo>
                              <a:lnTo>
                                <a:pt x="0" y="9265920"/>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42D00190" id="Group 25891" o:spid="_x0000_s1026" style="position:absolute;margin-left:56.7pt;margin-top:56.7pt;width:482.8pt;height:729.6pt;z-index:-251656192;mso-position-horizontal-relative:page;mso-position-vertical-relative:page" coordsize="61318,92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3wpdAIAAE4GAAAOAAAAZHJzL2Uyb0RvYy54bWykVclu2zAQvRfoPxC611pau7ZgOYemyaVo&#10;gyb9AJqiFoAiCZK27L/vcCTRioM2QKKDPCLfbG8Wb29OnSBHbmyrZBGliyQiXDJVtrIuoj9Pd5/W&#10;EbGOypIKJXkRnbmNbnYfP2x7nfNMNUqU3BAwIm3e6yJqnNN5HFvW8I7ahdJcwmWlTEcdfJo6Lg3t&#10;wXon4ixJVnGvTKmNYtxaOL0dLqMd2q8qztyvqrLcEVFEEJvDt8H33r/j3ZbmtaG6adkYBn1DFB1t&#10;JTgNpm6po+Rg2hemupYZZVXlFkx1saqqlnHMAbJJk6ts7o06aMylzvtaB5qA2iue3myW/Tw+GNKW&#10;RZQt15s0IpJ2UCb0TIYjoKjXdQ7Ie6Mf9YMZD+rhy2d9qkznfyEfckJyz4FcfnKEweEq/Zyu0y8R&#10;YXC3yVbLTTbSzxqo0Qs91nx/RTOeHMc+vhBOr6GV7IUt+z62HhuqORbBeg4mtlbLZDWxhRACKcER&#10;koPIQJXNLbD2Xp5CtjRnB+vuuULK6fGHdUMXl5NEm0liJzmJBmbhv1OgqfN6Pk4vkn5Ws+ZSMn/f&#10;qSN/Uoh0V4WDMC+3Qs5RoQOm5gDshJh+NdqbI2et8k88TPbzpnoFiY0XMCD4hHfbUUASQJ7TLKTn&#10;A/wwCluqEtThuHetg/Ul2g52X/Y1SS6GwZpvxKHyKLmz4J4yIX/zCkYOB8UfWFPvvwlDjtQvKXx8&#10;G2F8APWQqhUiaKXo+pnWHT6j1gj2ehxXYNBMBk02Ohz2IGwTyGvahuA1KKFnJV3Ql7DD0cksIS/u&#10;VXnGvYA5w/Bh9ri0MI9xwfqtOP9G1OVvYPcXAAD//wMAUEsDBBQABgAIAAAAIQCcMYMv4AAAAA0B&#10;AAAPAAAAZHJzL2Rvd25yZXYueG1sTI/NasMwEITvhb6D2EJvjeyk+alrOYTQ9hQCTQqht421sU0s&#10;yViK7bx9N4fS3mbYj9mZdDmYWnTU+spZBfEoAkE2d7qyhYKv/fvTAoQPaDXWzpKCK3lYZvd3KSba&#10;9faTul0oBIdYn6CCMoQmkdLnJRn0I9eQ5dvJtQYD27aQusWew00tx1E0kwYryx9KbGhdUn7eXYyC&#10;jx771SR+6zbn0/r6vZ9uD5uYlHp8GFavIAIN4Q+GW32uDhl3OrqL1V7U7OPJM6O/4kZE8xeed2Q1&#10;nY9nILNU/l+R/QAAAP//AwBQSwECLQAUAAYACAAAACEAtoM4kv4AAADhAQAAEwAAAAAAAAAAAAAA&#10;AAAAAAAAW0NvbnRlbnRfVHlwZXNdLnhtbFBLAQItABQABgAIAAAAIQA4/SH/1gAAAJQBAAALAAAA&#10;AAAAAAAAAAAAAC8BAABfcmVscy8ucmVsc1BLAQItABQABgAIAAAAIQBlT3wpdAIAAE4GAAAOAAAA&#10;AAAAAAAAAAAAAC4CAABkcnMvZTJvRG9jLnhtbFBLAQItABQABgAIAAAAIQCcMYMv4AAAAA0BAAAP&#10;AAAAAAAAAAAAAAAAAM4EAABkcnMvZG93bnJldi54bWxQSwUGAAAAAAQABADzAAAA2wUAAAAA&#10;">
              <v:shape id="Shape 26506" o:spid="_x0000_s1027" style="position:absolute;width:61318;height:92659;visibility:visible;mso-wrap-style:square;v-text-anchor:top" coordsize="6131814,92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SMaMQA&#10;AADeAAAADwAAAGRycy9kb3ducmV2LnhtbESPT4vCMBTE7wt+h/AEL4smClu0GkUWFlw8WcXzo3n9&#10;g81LaWKt334jLHgcZuY3zGY32Eb01PnasYb5TIEgzp2pudRwOf9MlyB8QDbYOCYNT/Kw244+Npga&#10;9+AT9VkoRYSwT1FDFUKbSunziiz6mWuJo1e4zmKIsiul6fAR4baRC6USabHmuFBhS98V5bfsbjX8&#10;ZvPj6n4ucmOLpfwc1LO/lpnWk/GwX4MINIR3+L99MBoWyZdK4HUnXg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kjGjEAAAA3gAAAA8AAAAAAAAAAAAAAAAAmAIAAGRycy9k&#10;b3ducmV2LnhtbFBLBQYAAAAABAAEAPUAAACJAwAAAAA=&#10;" path="m,l6131814,r,9265920l,9265920,,e" stroked="f" strokeweight="0">
                <v:stroke miterlimit="83231f" joinstyle="miter"/>
                <v:path arrowok="t" textboxrect="0,0,6131814,9265920"/>
              </v:shape>
              <w10:wrap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r>
      <w:rPr>
        <w:noProof/>
        <w:sz w:val="22"/>
      </w:rPr>
      <mc:AlternateContent>
        <mc:Choice Requires="wpg">
          <w:drawing>
            <wp:anchor distT="0" distB="0" distL="114300" distR="114300" simplePos="0" relativeHeight="251661312" behindDoc="1" locked="0" layoutInCell="1" allowOverlap="1">
              <wp:simplePos x="0" y="0"/>
              <wp:positionH relativeFrom="page">
                <wp:posOffset>720090</wp:posOffset>
              </wp:positionH>
              <wp:positionV relativeFrom="page">
                <wp:posOffset>720090</wp:posOffset>
              </wp:positionV>
              <wp:extent cx="6131814" cy="9265920"/>
              <wp:effectExtent l="0" t="0" r="0" b="0"/>
              <wp:wrapNone/>
              <wp:docPr id="25988" name="Group 25988"/>
              <wp:cNvGraphicFramePr/>
              <a:graphic xmlns:a="http://schemas.openxmlformats.org/drawingml/2006/main">
                <a:graphicData uri="http://schemas.microsoft.com/office/word/2010/wordprocessingGroup">
                  <wpg:wgp>
                    <wpg:cNvGrpSpPr/>
                    <wpg:grpSpPr>
                      <a:xfrm>
                        <a:off x="0" y="0"/>
                        <a:ext cx="6131814" cy="9265920"/>
                        <a:chOff x="0" y="0"/>
                        <a:chExt cx="6131814" cy="9265920"/>
                      </a:xfrm>
                    </wpg:grpSpPr>
                    <wps:wsp>
                      <wps:cNvPr id="26511" name="Shape 26511"/>
                      <wps:cNvSpPr/>
                      <wps:spPr>
                        <a:xfrm>
                          <a:off x="0" y="0"/>
                          <a:ext cx="6131814" cy="9265920"/>
                        </a:xfrm>
                        <a:custGeom>
                          <a:avLst/>
                          <a:gdLst/>
                          <a:ahLst/>
                          <a:cxnLst/>
                          <a:rect l="0" t="0" r="0" b="0"/>
                          <a:pathLst>
                            <a:path w="6131814" h="9265920">
                              <a:moveTo>
                                <a:pt x="0" y="0"/>
                              </a:moveTo>
                              <a:lnTo>
                                <a:pt x="6131814" y="0"/>
                              </a:lnTo>
                              <a:lnTo>
                                <a:pt x="6131814" y="9265920"/>
                              </a:lnTo>
                              <a:lnTo>
                                <a:pt x="0" y="9265920"/>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6E8AFD05" id="Group 25988" o:spid="_x0000_s1026" style="position:absolute;margin-left:56.7pt;margin-top:56.7pt;width:482.8pt;height:729.6pt;z-index:-251655168;mso-position-horizontal-relative:page;mso-position-vertical-relative:page" coordsize="61318,92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WFxdAIAAE4GAAAOAAAAZHJzL2Uyb0RvYy54bWykVclu2zAQvRfoPxC611pau7ZgOYemyaVo&#10;gyb9AJqiFoAiCZK27L/vcCTRioM2QKKDPCLfbG8Wb29OnSBHbmyrZBGliyQiXDJVtrIuoj9Pd5/W&#10;EbGOypIKJXkRnbmNbnYfP2x7nfNMNUqU3BAwIm3e6yJqnNN5HFvW8I7ahdJcwmWlTEcdfJo6Lg3t&#10;wXon4ixJVnGvTKmNYtxaOL0dLqMd2q8qztyvqrLcEVFEEJvDt8H33r/j3ZbmtaG6adkYBn1DFB1t&#10;JTgNpm6po+Rg2hemupYZZVXlFkx1saqqlnHMAbJJk6ts7o06aMylzvtaB5qA2iue3myW/Tw+GNKW&#10;RZQtN2solqQdlAk9k+EIKOp1nQPy3uhH/WDGg3r48lmfKtP5X8iHnJDccyCXnxxhcLhKP6fr9EtE&#10;GNxtstVyk430swZq9EKPNd9f0Ywnx7GPL4TTa2gle2HLvo+tx4ZqjkWwnoOJrdUyTSe2EEIgJThC&#10;chAZqLK5Bdbey1PIlubsYN09V0g5Pf6wbujicpJoM0nsJCfRwCz8dwo0dV7Px+lF0s9q1lxK5u87&#10;deRPCpHuqnAQ5uVWyDkqdMDUHICdENOvRntz5KxV/omHyX7eVK8gsfECBgSf8G47CkgCyHOahfR8&#10;gB9GYUtVgjoc9651sL5E28Huy74mycUwWPONOFQeJXcW3FMm5G9ewcjhoPgDa+r9N2HIkfolhY9v&#10;I4wPoB5StUIErRRdP9O6w2fUGsFej+MKDJrJoMlGh8MehG0CeU3bELwGJfSspAv6EnY4Opkl5MW9&#10;Ks+4FzBnGD7MHpcW5jEuWL8V59+IuvwN7P4CAAD//wMAUEsDBBQABgAIAAAAIQCcMYMv4AAAAA0B&#10;AAAPAAAAZHJzL2Rvd25yZXYueG1sTI/NasMwEITvhb6D2EJvjeyk+alrOYTQ9hQCTQqht421sU0s&#10;yViK7bx9N4fS3mbYj9mZdDmYWnTU+spZBfEoAkE2d7qyhYKv/fvTAoQPaDXWzpKCK3lYZvd3KSba&#10;9faTul0oBIdYn6CCMoQmkdLnJRn0I9eQ5dvJtQYD27aQusWew00tx1E0kwYryx9KbGhdUn7eXYyC&#10;jx771SR+6zbn0/r6vZ9uD5uYlHp8GFavIAIN4Q+GW32uDhl3OrqL1V7U7OPJM6O/4kZE8xeed2Q1&#10;nY9nILNU/l+R/QAAAP//AwBQSwECLQAUAAYACAAAACEAtoM4kv4AAADhAQAAEwAAAAAAAAAAAAAA&#10;AAAAAAAAW0NvbnRlbnRfVHlwZXNdLnhtbFBLAQItABQABgAIAAAAIQA4/SH/1gAAAJQBAAALAAAA&#10;AAAAAAAAAAAAAC8BAABfcmVscy8ucmVsc1BLAQItABQABgAIAAAAIQCyMWFxdAIAAE4GAAAOAAAA&#10;AAAAAAAAAAAAAC4CAABkcnMvZTJvRG9jLnhtbFBLAQItABQABgAIAAAAIQCcMYMv4AAAAA0BAAAP&#10;AAAAAAAAAAAAAAAAAM4EAABkcnMvZG93bnJldi54bWxQSwUGAAAAAAQABADzAAAA2wUAAAAA&#10;">
              <v:shape id="Shape 26511" o:spid="_x0000_s1027" style="position:absolute;width:61318;height:92659;visibility:visible;mso-wrap-style:square;v-text-anchor:top" coordsize="6131814,92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SCwcMA&#10;AADeAAAADwAAAGRycy9kb3ducmV2LnhtbESPzarCMBSE9xd8h3AENxdNKyhajSKCoNyVVVwfmtMf&#10;bE5KE2t9e3NBcDnMzDfMetubWnTUusqygngSgSDOrK64UHC9HMYLEM4ja6wtk4IXOdhuBj9rTLR9&#10;8pm61BciQNglqKD0vkmkdFlJBt3ENsTBy21r0AfZFlK3+AxwU8tpFM2lwYrDQokN7UvK7unDKDil&#10;8d/ycckzbfKF/O2jV3crUqVGw363AuGp99/wp33UCqbzWRzD/51wBeTm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SCwcMAAADeAAAADwAAAAAAAAAAAAAAAACYAgAAZHJzL2Rv&#10;d25yZXYueG1sUEsFBgAAAAAEAAQA9QAAAIgDAAAAAA==&#10;" path="m,l6131814,r,9265920l,9265920,,e" stroked="f" strokeweight="0">
                <v:stroke miterlimit="83231f" joinstyle="miter"/>
                <v:path arrowok="t" textboxrect="0,0,6131814,9265920"/>
              </v:shape>
              <w10:wrap anchorx="page" anchory="page"/>
            </v:group>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r>
      <w:rPr>
        <w:noProof/>
        <w:sz w:val="22"/>
      </w:rPr>
      <mc:AlternateContent>
        <mc:Choice Requires="wpg">
          <w:drawing>
            <wp:anchor distT="0" distB="0" distL="114300" distR="114300" simplePos="0" relativeHeight="251662336" behindDoc="1" locked="0" layoutInCell="1" allowOverlap="1">
              <wp:simplePos x="0" y="0"/>
              <wp:positionH relativeFrom="page">
                <wp:posOffset>720090</wp:posOffset>
              </wp:positionH>
              <wp:positionV relativeFrom="page">
                <wp:posOffset>720090</wp:posOffset>
              </wp:positionV>
              <wp:extent cx="6131814" cy="9265920"/>
              <wp:effectExtent l="0" t="0" r="0" b="0"/>
              <wp:wrapNone/>
              <wp:docPr id="25965" name="Group 25965"/>
              <wp:cNvGraphicFramePr/>
              <a:graphic xmlns:a="http://schemas.openxmlformats.org/drawingml/2006/main">
                <a:graphicData uri="http://schemas.microsoft.com/office/word/2010/wordprocessingGroup">
                  <wpg:wgp>
                    <wpg:cNvGrpSpPr/>
                    <wpg:grpSpPr>
                      <a:xfrm>
                        <a:off x="0" y="0"/>
                        <a:ext cx="6131814" cy="9265920"/>
                        <a:chOff x="0" y="0"/>
                        <a:chExt cx="6131814" cy="9265920"/>
                      </a:xfrm>
                    </wpg:grpSpPr>
                    <wps:wsp>
                      <wps:cNvPr id="26510" name="Shape 26510"/>
                      <wps:cNvSpPr/>
                      <wps:spPr>
                        <a:xfrm>
                          <a:off x="0" y="0"/>
                          <a:ext cx="6131814" cy="9265920"/>
                        </a:xfrm>
                        <a:custGeom>
                          <a:avLst/>
                          <a:gdLst/>
                          <a:ahLst/>
                          <a:cxnLst/>
                          <a:rect l="0" t="0" r="0" b="0"/>
                          <a:pathLst>
                            <a:path w="6131814" h="9265920">
                              <a:moveTo>
                                <a:pt x="0" y="0"/>
                              </a:moveTo>
                              <a:lnTo>
                                <a:pt x="6131814" y="0"/>
                              </a:lnTo>
                              <a:lnTo>
                                <a:pt x="6131814" y="9265920"/>
                              </a:lnTo>
                              <a:lnTo>
                                <a:pt x="0" y="9265920"/>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06F346C8" id="Group 25965" o:spid="_x0000_s1026" style="position:absolute;margin-left:56.7pt;margin-top:56.7pt;width:482.8pt;height:729.6pt;z-index:-251654144;mso-position-horizontal-relative:page;mso-position-vertical-relative:page" coordsize="61318,92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eQ7dgIAAE4GAAAOAAAAZHJzL2Uyb0RvYy54bWykVclu2zAQvRfoPxC611pau7FgOYem8aVo&#10;gyb9AJqiFoAiCZK27L/vcCTRioM2QKIDNSLfbG+Go83tqRPkyI1tlSyidJFEhEumylbWRfTn6f7T&#10;TUSso7KkQkleRGduo9vtxw+bXuc8U40SJTcEjEib97qIGud0HseWNbyjdqE0l3BYKdNRB5+mjktD&#10;e7DeiThLklXcK1Nqoxi3FnbvhsNoi/arijP3q6osd0QUEcTmcDW47v0abzc0rw3VTcvGMOgbouho&#10;K8FpMHVHHSUH074w1bXMKKsqt2Cqi1VVtYxjDpBNmlxlszPqoDGXOu9rHWgCaq94erNZ9vP4YEhb&#10;FlG2XK+WEZG0gzKhZzJsAUW9rnNA7ox+1A9m3KiHL5/1qTKdf0M+5ITkngO5/OQIg81V+jm9Sb9E&#10;hMHZOlst19lIP2ugRi/0WPP9Fc14chz7+EI4vYZWshe27PvYemyo5lgE6zmY2FotU+ingS2EEEgJ&#10;tpAcRAaqbG6BtffyFLKlOTtYt+MKKafHH9YNXVxOEm0miZ3kJBq4C/+9BZo6r+fj9CLpZzVrLiXz&#10;55068ieFSHdVOAjzcirkHBU6YGoOwE6I6a3R3hw5a5V/4qESz5vqFSSWKWBA8AlvN6OAJIA8p1lI&#10;zwf4YRSmVCWow+vetQ7Gl2g7mH3Z1yS5GAZrvhGHyqPkzoJ7yoT8zSu4cnhR/IY19f6bMORI/ZDC&#10;x7cRxgdQD6laIYJWiq6fad3jM2qNYK/HcQQGzWTQZKPDYQ7CNIG8pmkIXoMSelbSBX0JMxydzBLy&#10;4l6VZ5wLmDNcPswehxbmMQ5YPxXn34i6/Aa2fwEAAP//AwBQSwMEFAAGAAgAAAAhAJwxgy/gAAAA&#10;DQEAAA8AAABkcnMvZG93bnJldi54bWxMj81qwzAQhO+FvoPYQm+N7KT5qWs5hND2FAJNCqG3jbWx&#10;TSzJWIrtvH03h9LeZtiP2Zl0OZhadNT6ylkF8SgCQTZ3urKFgq/9+9MChA9oNdbOkoIreVhm93cp&#10;Jtr19pO6XSgEh1ifoIIyhCaR0uclGfQj15Dl28m1BgPbtpC6xZ7DTS3HUTSTBivLH0psaF1Sft5d&#10;jIKPHvvVJH7rNufT+vq9n24Pm5iUenwYVq8gAg3hD4Zbfa4OGXc6uovVXtTs48kzo7/iRkTzF553&#10;ZDWdj2cgs1T+X5H9AAAA//8DAFBLAQItABQABgAIAAAAIQC2gziS/gAAAOEBAAATAAAAAAAAAAAA&#10;AAAAAAAAAABbQ29udGVudF9UeXBlc10ueG1sUEsBAi0AFAAGAAgAAAAhADj9If/WAAAAlAEAAAsA&#10;AAAAAAAAAAAAAAAALwEAAF9yZWxzLy5yZWxzUEsBAi0AFAAGAAgAAAAhAJnN5Dt2AgAATgYAAA4A&#10;AAAAAAAAAAAAAAAALgIAAGRycy9lMm9Eb2MueG1sUEsBAi0AFAAGAAgAAAAhAJwxgy/gAAAADQEA&#10;AA8AAAAAAAAAAAAAAAAA0AQAAGRycy9kb3ducmV2LnhtbFBLBQYAAAAABAAEAPMAAADdBQAAAAA=&#10;">
              <v:shape id="Shape 26510" o:spid="_x0000_s1027" style="position:absolute;width:61318;height:92659;visibility:visible;mso-wrap-style:square;v-text-anchor:top" coordsize="6131814,92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gnWsMA&#10;AADeAAAADwAAAGRycy9kb3ducmV2LnhtbESPy4rCMBSG98K8QzgDbkTTCiPaaSoiDIzMylZcH5rT&#10;C9OclCbW+vZmIbj8+W986X4ynRhpcK1lBfEqAkFcWt1yreBS/Cy3IJxH1thZJgUPcrDPPmYpJtre&#10;+Uxj7msRRtglqKDxvk+kdGVDBt3K9sTBq+xg0Ac51FIPeA/jppPrKNpIgy2HhwZ7OjZU/uc3o+CU&#10;x3+7W1GV2lRbuZiix3itc6Xmn9PhG4Snyb/Dr/avVrDefMUBIOAEFJ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gnWsMAAADeAAAADwAAAAAAAAAAAAAAAACYAgAAZHJzL2Rv&#10;d25yZXYueG1sUEsFBgAAAAAEAAQA9QAAAIgDAAAAAA==&#10;" path="m,l6131814,r,9265920l,9265920,,e" stroked="f" strokeweight="0">
                <v:stroke miterlimit="83231f" joinstyle="miter"/>
                <v:path arrowok="t" textboxrect="0,0,6131814,9265920"/>
              </v:shape>
              <w10:wrap anchorx="page" anchory="page"/>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61" w:rsidRDefault="00BF2516">
    <w:r>
      <w:rPr>
        <w:noProof/>
        <w:sz w:val="22"/>
      </w:rPr>
      <mc:AlternateContent>
        <mc:Choice Requires="wpg">
          <w:drawing>
            <wp:anchor distT="0" distB="0" distL="114300" distR="114300" simplePos="0" relativeHeight="251663360" behindDoc="1" locked="0" layoutInCell="1" allowOverlap="1">
              <wp:simplePos x="0" y="0"/>
              <wp:positionH relativeFrom="page">
                <wp:posOffset>720090</wp:posOffset>
              </wp:positionH>
              <wp:positionV relativeFrom="page">
                <wp:posOffset>720090</wp:posOffset>
              </wp:positionV>
              <wp:extent cx="6131814" cy="9265920"/>
              <wp:effectExtent l="0" t="0" r="0" b="0"/>
              <wp:wrapNone/>
              <wp:docPr id="25942" name="Group 25942"/>
              <wp:cNvGraphicFramePr/>
              <a:graphic xmlns:a="http://schemas.openxmlformats.org/drawingml/2006/main">
                <a:graphicData uri="http://schemas.microsoft.com/office/word/2010/wordprocessingGroup">
                  <wpg:wgp>
                    <wpg:cNvGrpSpPr/>
                    <wpg:grpSpPr>
                      <a:xfrm>
                        <a:off x="0" y="0"/>
                        <a:ext cx="6131814" cy="9265920"/>
                        <a:chOff x="0" y="0"/>
                        <a:chExt cx="6131814" cy="9265920"/>
                      </a:xfrm>
                    </wpg:grpSpPr>
                    <wps:wsp>
                      <wps:cNvPr id="26509" name="Shape 26509"/>
                      <wps:cNvSpPr/>
                      <wps:spPr>
                        <a:xfrm>
                          <a:off x="0" y="0"/>
                          <a:ext cx="6131814" cy="9265920"/>
                        </a:xfrm>
                        <a:custGeom>
                          <a:avLst/>
                          <a:gdLst/>
                          <a:ahLst/>
                          <a:cxnLst/>
                          <a:rect l="0" t="0" r="0" b="0"/>
                          <a:pathLst>
                            <a:path w="6131814" h="9265920">
                              <a:moveTo>
                                <a:pt x="0" y="0"/>
                              </a:moveTo>
                              <a:lnTo>
                                <a:pt x="6131814" y="0"/>
                              </a:lnTo>
                              <a:lnTo>
                                <a:pt x="6131814" y="9265920"/>
                              </a:lnTo>
                              <a:lnTo>
                                <a:pt x="0" y="9265920"/>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w:pict>
            <v:group w14:anchorId="29EBD238" id="Group 25942" o:spid="_x0000_s1026" style="position:absolute;margin-left:56.7pt;margin-top:56.7pt;width:482.8pt;height:729.6pt;z-index:-251653120;mso-position-horizontal-relative:page;mso-position-vertical-relative:page" coordsize="61318,92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CXNdQIAAE4GAAAOAAAAZHJzL2Uyb0RvYy54bWykVclu2zAQvRfoPxC611oau7FgOYemyaVo&#10;gyT9AJqiFoAiCZK27L/vcCTRioM2QKKDPCLfbG8Wb26OnSAHbmyrZBGliyQiXDJVtrIuoj/Pd1+u&#10;I2IdlSUVSvIiOnEb3Ww/f9r0OueZapQouSFgRNq810XUOKfzOLas4R21C6W5hMtKmY46+DR1XBra&#10;g/VOxFmSrOJemVIbxbi1cHo7XEZbtF9VnLnfVWW5I6KIIDaHb4PvnX/H2w3Na0N107IxDPqOKDra&#10;SnAaTN1SR8netK9MdS0zyqrKLZjqYlVVLeOYA2STJhfZ3Bu115hLnfe1DjQBtRc8vdss+3V4MKQt&#10;iyhbrq+yiEjaQZnQMxmOgKJe1zkg741+0g9mPKiHL5/1sTKd/4V8yBHJPQVy+dERBoer9Gt6nV5F&#10;hMHdOlst19lIP2ugRq/0WPPjDc14chz7+EI4vYZWsme27MfYemqo5lgE6zmY2Fotk/XEFkIIpARH&#10;SA4iA1U2t8DaR3kK2dKc7a275wopp4ef1g1dXE4SbSaJHeUkGpiF/06Bps7r+Ti9SPpZzZpzyfx9&#10;pw78WSHSXRQOwjzfCjlHhQ6YmgOwE2L61Whvjpy1yj/xMNkvm+oNJDZewIDgE95uRgFJAHlOs5Ce&#10;D/DDKGypSlCH4961DtaXaDvYfdm3JDkbBmu+EYfKo+ROgnvKhHzkFYwcDoo/sKbefReGHKhfUvj4&#10;NsL4AOohVStE0ErR9QutO3xGrRHs9TiuwKCZDJpsdDjsQdgmkNe0DcFrUELPSrqgL2GHo5NZQl7c&#10;qfKEewFzhuHD7HFpYR7jgvVbcf6NqPPfwPYvAAAA//8DAFBLAwQUAAYACAAAACEAnDGDL+AAAAAN&#10;AQAADwAAAGRycy9kb3ducmV2LnhtbEyPzWrDMBCE74W+g9hCb43spPmpazmE0PYUAk0KobeNtbFN&#10;LMlYiu28fTeH0t5m2I/ZmXQ5mFp01PrKWQXxKAJBNne6soWCr/370wKED2g11s6Sgit5WGb3dykm&#10;2vX2k7pdKASHWJ+ggjKEJpHS5yUZ9CPXkOXbybUGA9u2kLrFnsNNLcdRNJMGK8sfSmxoXVJ+3l2M&#10;go8e+9Ukfus259P6+r2fbg+bmJR6fBhWryACDeEPhlt9rg4Zdzq6i9Ve1OzjyTOjv+JGRPMXnndk&#10;NZ2PZyCzVP5fkf0AAAD//wMAUEsBAi0AFAAGAAgAAAAhALaDOJL+AAAA4QEAABMAAAAAAAAAAAAA&#10;AAAAAAAAAFtDb250ZW50X1R5cGVzXS54bWxQSwECLQAUAAYACAAAACEAOP0h/9YAAACUAQAACwAA&#10;AAAAAAAAAAAAAAAvAQAAX3JlbHMvLnJlbHNQSwECLQAUAAYACAAAACEAncQlzXUCAABOBgAADgAA&#10;AAAAAAAAAAAAAAAuAgAAZHJzL2Uyb0RvYy54bWxQSwECLQAUAAYACAAAACEAnDGDL+AAAAANAQAA&#10;DwAAAAAAAAAAAAAAAADPBAAAZHJzL2Rvd25yZXYueG1sUEsFBgAAAAAEAAQA8wAAANwFAAAAAA==&#10;">
              <v:shape id="Shape 26509" o:spid="_x0000_s1027" style="position:absolute;width:61318;height:92659;visibility:visible;mso-wrap-style:square;v-text-anchor:top" coordsize="6131814,92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sYGsQA&#10;AADeAAAADwAAAGRycy9kb3ducmV2LnhtbESPT4vCMBTE74LfITzBi2iisKLVKCIILp6sy54fzesf&#10;bF5KE2v99hthweMwM79htvve1qKj1leONcxnCgRx5kzFhYaf22m6AuEDssHaMWl4kYf9bjjYYmLc&#10;k6/UpaEQEcI+QQ1lCE0ipc9KsuhnriGOXu5aiyHKtpCmxWeE21oulFpKixXHhRIbOpaU3dOH1fCd&#10;zi/rxy3PjM1XctKrV/dbpFqPR/1hAyJQHz7h//bZaFgsv9Qa3nfiF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7GBrEAAAA3gAAAA8AAAAAAAAAAAAAAAAAmAIAAGRycy9k&#10;b3ducmV2LnhtbFBLBQYAAAAABAAEAPUAAACJAwAAAAA=&#10;" path="m,l6131814,r,9265920l,9265920,,e" stroked="f" strokeweight="0">
                <v:stroke miterlimit="83231f" joinstyle="miter"/>
                <v:path arrowok="t" textboxrect="0,0,6131814,926592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D3D29"/>
    <w:multiLevelType w:val="multilevel"/>
    <w:tmpl w:val="F92CBC92"/>
    <w:lvl w:ilvl="0">
      <w:start w:val="2"/>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2"/>
      <w:numFmt w:val="decimal"/>
      <w:lvlText w:val="%1.%2"/>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12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
    <w:nsid w:val="06243C54"/>
    <w:multiLevelType w:val="hybridMultilevel"/>
    <w:tmpl w:val="51267644"/>
    <w:lvl w:ilvl="0" w:tplc="93BC2FFC">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24E0F56">
      <w:start w:val="1"/>
      <w:numFmt w:val="lowerLetter"/>
      <w:lvlText w:val="%2"/>
      <w:lvlJc w:val="left"/>
      <w:pPr>
        <w:ind w:left="4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32081A4">
      <w:start w:val="1"/>
      <w:numFmt w:val="lowerRoman"/>
      <w:lvlText w:val="%3"/>
      <w:lvlJc w:val="left"/>
      <w:pPr>
        <w:ind w:left="50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45699BA">
      <w:start w:val="1"/>
      <w:numFmt w:val="decimal"/>
      <w:lvlText w:val="%4"/>
      <w:lvlJc w:val="left"/>
      <w:pPr>
        <w:ind w:left="57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BAE64F8">
      <w:start w:val="1"/>
      <w:numFmt w:val="lowerLetter"/>
      <w:lvlRestart w:val="0"/>
      <w:lvlText w:val="%5)"/>
      <w:lvlJc w:val="left"/>
      <w:pPr>
        <w:ind w:left="64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9DEC69A">
      <w:start w:val="1"/>
      <w:numFmt w:val="lowerRoman"/>
      <w:lvlText w:val="%6"/>
      <w:lvlJc w:val="left"/>
      <w:pPr>
        <w:ind w:left="136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9BA376A">
      <w:start w:val="1"/>
      <w:numFmt w:val="decimal"/>
      <w:lvlText w:val="%7"/>
      <w:lvlJc w:val="left"/>
      <w:pPr>
        <w:ind w:left="208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CCCBD44">
      <w:start w:val="1"/>
      <w:numFmt w:val="lowerLetter"/>
      <w:lvlText w:val="%8"/>
      <w:lvlJc w:val="left"/>
      <w:pPr>
        <w:ind w:left="280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88857D6">
      <w:start w:val="1"/>
      <w:numFmt w:val="lowerRoman"/>
      <w:lvlText w:val="%9"/>
      <w:lvlJc w:val="left"/>
      <w:pPr>
        <w:ind w:left="35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
    <w:nsid w:val="07903D90"/>
    <w:multiLevelType w:val="hybridMultilevel"/>
    <w:tmpl w:val="FCC22360"/>
    <w:lvl w:ilvl="0" w:tplc="73FAE06E">
      <w:start w:val="1"/>
      <w:numFmt w:val="bullet"/>
      <w:lvlText w:val="–"/>
      <w:lvlJc w:val="left"/>
      <w:pPr>
        <w:ind w:left="346"/>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1" w:tplc="74AC7A62">
      <w:start w:val="1"/>
      <w:numFmt w:val="bullet"/>
      <w:lvlText w:val="o"/>
      <w:lvlJc w:val="left"/>
      <w:pPr>
        <w:ind w:left="108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2" w:tplc="9DBE2974">
      <w:start w:val="1"/>
      <w:numFmt w:val="bullet"/>
      <w:lvlText w:val="▪"/>
      <w:lvlJc w:val="left"/>
      <w:pPr>
        <w:ind w:left="180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3" w:tplc="8DA0D8EE">
      <w:start w:val="1"/>
      <w:numFmt w:val="bullet"/>
      <w:lvlText w:val="•"/>
      <w:lvlJc w:val="left"/>
      <w:pPr>
        <w:ind w:left="252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4" w:tplc="E3A016BC">
      <w:start w:val="1"/>
      <w:numFmt w:val="bullet"/>
      <w:lvlText w:val="o"/>
      <w:lvlJc w:val="left"/>
      <w:pPr>
        <w:ind w:left="324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5" w:tplc="748EF096">
      <w:start w:val="1"/>
      <w:numFmt w:val="bullet"/>
      <w:lvlText w:val="▪"/>
      <w:lvlJc w:val="left"/>
      <w:pPr>
        <w:ind w:left="396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6" w:tplc="42064D78">
      <w:start w:val="1"/>
      <w:numFmt w:val="bullet"/>
      <w:lvlText w:val="•"/>
      <w:lvlJc w:val="left"/>
      <w:pPr>
        <w:ind w:left="468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7" w:tplc="6302ACDA">
      <w:start w:val="1"/>
      <w:numFmt w:val="bullet"/>
      <w:lvlText w:val="o"/>
      <w:lvlJc w:val="left"/>
      <w:pPr>
        <w:ind w:left="540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8" w:tplc="9FB696EE">
      <w:start w:val="1"/>
      <w:numFmt w:val="bullet"/>
      <w:lvlText w:val="▪"/>
      <w:lvlJc w:val="left"/>
      <w:pPr>
        <w:ind w:left="612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abstractNum>
  <w:abstractNum w:abstractNumId="3">
    <w:nsid w:val="08E14620"/>
    <w:multiLevelType w:val="multilevel"/>
    <w:tmpl w:val="E4B47B7E"/>
    <w:lvl w:ilvl="0">
      <w:start w:val="2"/>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2"/>
      <w:numFmt w:val="decimal"/>
      <w:lvlText w:val="%1.%2"/>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4"/>
      <w:numFmt w:val="decimal"/>
      <w:lvlRestart w:val="0"/>
      <w:lvlText w:val="%1.%2.%3."/>
      <w:lvlJc w:val="left"/>
      <w:pPr>
        <w:ind w:left="12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
    <w:nsid w:val="0B2A0E90"/>
    <w:multiLevelType w:val="hybridMultilevel"/>
    <w:tmpl w:val="AADC6546"/>
    <w:lvl w:ilvl="0" w:tplc="ADE8148E">
      <w:start w:val="1"/>
      <w:numFmt w:val="bullet"/>
      <w:lvlText w:val="–"/>
      <w:lvlJc w:val="left"/>
      <w:pPr>
        <w:ind w:left="286"/>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1" w:tplc="DC7041B8">
      <w:start w:val="1"/>
      <w:numFmt w:val="bullet"/>
      <w:lvlText w:val="o"/>
      <w:lvlJc w:val="left"/>
      <w:pPr>
        <w:ind w:left="108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2" w:tplc="80BE7ABE">
      <w:start w:val="1"/>
      <w:numFmt w:val="bullet"/>
      <w:lvlText w:val="▪"/>
      <w:lvlJc w:val="left"/>
      <w:pPr>
        <w:ind w:left="180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3" w:tplc="3A7E798E">
      <w:start w:val="1"/>
      <w:numFmt w:val="bullet"/>
      <w:lvlText w:val="•"/>
      <w:lvlJc w:val="left"/>
      <w:pPr>
        <w:ind w:left="252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4" w:tplc="9FB21C9A">
      <w:start w:val="1"/>
      <w:numFmt w:val="bullet"/>
      <w:lvlText w:val="o"/>
      <w:lvlJc w:val="left"/>
      <w:pPr>
        <w:ind w:left="324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5" w:tplc="C144CB38">
      <w:start w:val="1"/>
      <w:numFmt w:val="bullet"/>
      <w:lvlText w:val="▪"/>
      <w:lvlJc w:val="left"/>
      <w:pPr>
        <w:ind w:left="396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6" w:tplc="C2CECBE2">
      <w:start w:val="1"/>
      <w:numFmt w:val="bullet"/>
      <w:lvlText w:val="•"/>
      <w:lvlJc w:val="left"/>
      <w:pPr>
        <w:ind w:left="468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7" w:tplc="43E41504">
      <w:start w:val="1"/>
      <w:numFmt w:val="bullet"/>
      <w:lvlText w:val="o"/>
      <w:lvlJc w:val="left"/>
      <w:pPr>
        <w:ind w:left="540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8" w:tplc="97DC4BB8">
      <w:start w:val="1"/>
      <w:numFmt w:val="bullet"/>
      <w:lvlText w:val="▪"/>
      <w:lvlJc w:val="left"/>
      <w:pPr>
        <w:ind w:left="612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abstractNum>
  <w:abstractNum w:abstractNumId="5">
    <w:nsid w:val="0E6D2899"/>
    <w:multiLevelType w:val="hybridMultilevel"/>
    <w:tmpl w:val="55228B2E"/>
    <w:lvl w:ilvl="0" w:tplc="F34A1F24">
      <w:start w:val="1"/>
      <w:numFmt w:val="lowerLetter"/>
      <w:lvlText w:val="%1)"/>
      <w:lvlJc w:val="left"/>
      <w:pPr>
        <w:ind w:left="7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3D87152">
      <w:start w:val="1"/>
      <w:numFmt w:val="lowerLetter"/>
      <w:lvlText w:val="%2"/>
      <w:lvlJc w:val="left"/>
      <w:pPr>
        <w:ind w:left="14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E76F5DC">
      <w:start w:val="1"/>
      <w:numFmt w:val="lowerRoman"/>
      <w:lvlText w:val="%3"/>
      <w:lvlJc w:val="left"/>
      <w:pPr>
        <w:ind w:left="21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C44EBC4">
      <w:start w:val="1"/>
      <w:numFmt w:val="decimal"/>
      <w:lvlText w:val="%4"/>
      <w:lvlJc w:val="left"/>
      <w:pPr>
        <w:ind w:left="2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C2AF1E0">
      <w:start w:val="1"/>
      <w:numFmt w:val="lowerLetter"/>
      <w:lvlText w:val="%5"/>
      <w:lvlJc w:val="left"/>
      <w:pPr>
        <w:ind w:left="36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1622CFC">
      <w:start w:val="1"/>
      <w:numFmt w:val="lowerRoman"/>
      <w:lvlText w:val="%6"/>
      <w:lvlJc w:val="left"/>
      <w:pPr>
        <w:ind w:left="43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1DA04C8">
      <w:start w:val="1"/>
      <w:numFmt w:val="decimal"/>
      <w:lvlText w:val="%7"/>
      <w:lvlJc w:val="left"/>
      <w:pPr>
        <w:ind w:left="50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E24E4EE">
      <w:start w:val="1"/>
      <w:numFmt w:val="lowerLetter"/>
      <w:lvlText w:val="%8"/>
      <w:lvlJc w:val="left"/>
      <w:pPr>
        <w:ind w:left="57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F2E532E">
      <w:start w:val="1"/>
      <w:numFmt w:val="lowerRoman"/>
      <w:lvlText w:val="%9"/>
      <w:lvlJc w:val="left"/>
      <w:pPr>
        <w:ind w:left="64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
    <w:nsid w:val="10E264BE"/>
    <w:multiLevelType w:val="hybridMultilevel"/>
    <w:tmpl w:val="196EF7BA"/>
    <w:lvl w:ilvl="0" w:tplc="2B5A7616">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CF46286">
      <w:start w:val="1"/>
      <w:numFmt w:val="lowerLetter"/>
      <w:lvlText w:val="%2"/>
      <w:lvlJc w:val="left"/>
      <w:pPr>
        <w:ind w:left="4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38C094A2">
      <w:start w:val="1"/>
      <w:numFmt w:val="lowerRoman"/>
      <w:lvlText w:val="%3"/>
      <w:lvlJc w:val="left"/>
      <w:pPr>
        <w:ind w:left="50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A35EB8A0">
      <w:start w:val="1"/>
      <w:numFmt w:val="decimal"/>
      <w:lvlText w:val="%4"/>
      <w:lvlJc w:val="left"/>
      <w:pPr>
        <w:ind w:left="57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F1EB61A">
      <w:start w:val="1"/>
      <w:numFmt w:val="lowerLetter"/>
      <w:lvlRestart w:val="0"/>
      <w:lvlText w:val="%5)"/>
      <w:lvlJc w:val="left"/>
      <w:pPr>
        <w:ind w:left="64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6DEB56E">
      <w:start w:val="1"/>
      <w:numFmt w:val="lowerRoman"/>
      <w:lvlText w:val="%6"/>
      <w:lvlJc w:val="left"/>
      <w:pPr>
        <w:ind w:left="136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B2C7450">
      <w:start w:val="1"/>
      <w:numFmt w:val="decimal"/>
      <w:lvlText w:val="%7"/>
      <w:lvlJc w:val="left"/>
      <w:pPr>
        <w:ind w:left="208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B9A0536">
      <w:start w:val="1"/>
      <w:numFmt w:val="lowerLetter"/>
      <w:lvlText w:val="%8"/>
      <w:lvlJc w:val="left"/>
      <w:pPr>
        <w:ind w:left="280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89A1538">
      <w:start w:val="1"/>
      <w:numFmt w:val="lowerRoman"/>
      <w:lvlText w:val="%9"/>
      <w:lvlJc w:val="left"/>
      <w:pPr>
        <w:ind w:left="35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
    <w:nsid w:val="1F204B99"/>
    <w:multiLevelType w:val="hybridMultilevel"/>
    <w:tmpl w:val="C3008286"/>
    <w:lvl w:ilvl="0" w:tplc="DF542ED8">
      <w:start w:val="1"/>
      <w:numFmt w:val="bullet"/>
      <w:lvlText w:val="–"/>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F1CF6A2">
      <w:start w:val="1"/>
      <w:numFmt w:val="bullet"/>
      <w:lvlText w:val="o"/>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B1CB02A">
      <w:start w:val="1"/>
      <w:numFmt w:val="bullet"/>
      <w:lvlText w:val="▪"/>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950B742">
      <w:start w:val="1"/>
      <w:numFmt w:val="bullet"/>
      <w:lvlText w:val="•"/>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82A0550">
      <w:start w:val="1"/>
      <w:numFmt w:val="bullet"/>
      <w:lvlText w:val="o"/>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1B4DB0E">
      <w:start w:val="1"/>
      <w:numFmt w:val="bullet"/>
      <w:lvlText w:val="▪"/>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738D20C">
      <w:start w:val="1"/>
      <w:numFmt w:val="bullet"/>
      <w:lvlText w:val="•"/>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414D302">
      <w:start w:val="1"/>
      <w:numFmt w:val="bullet"/>
      <w:lvlText w:val="o"/>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1E8B24E">
      <w:start w:val="1"/>
      <w:numFmt w:val="bullet"/>
      <w:lvlText w:val="▪"/>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
    <w:nsid w:val="23BF0A83"/>
    <w:multiLevelType w:val="hybridMultilevel"/>
    <w:tmpl w:val="0204CECC"/>
    <w:lvl w:ilvl="0" w:tplc="0792C834">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4AA1B7C">
      <w:start w:val="1"/>
      <w:numFmt w:val="lowerLetter"/>
      <w:lvlText w:val="%2"/>
      <w:lvlJc w:val="left"/>
      <w:pPr>
        <w:ind w:left="53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4A47356">
      <w:start w:val="1"/>
      <w:numFmt w:val="lowerRoman"/>
      <w:lvlText w:val="%3"/>
      <w:lvlJc w:val="left"/>
      <w:pPr>
        <w:ind w:left="7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8D29D20">
      <w:start w:val="1"/>
      <w:numFmt w:val="decimal"/>
      <w:lvlText w:val="%4"/>
      <w:lvlJc w:val="left"/>
      <w:pPr>
        <w:ind w:left="88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D8C2570">
      <w:start w:val="1"/>
      <w:numFmt w:val="lowerLetter"/>
      <w:lvlRestart w:val="0"/>
      <w:lvlText w:val="%5)"/>
      <w:lvlJc w:val="left"/>
      <w:pPr>
        <w:ind w:left="106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4D22848">
      <w:start w:val="1"/>
      <w:numFmt w:val="lowerRoman"/>
      <w:lvlText w:val="%6"/>
      <w:lvlJc w:val="left"/>
      <w:pPr>
        <w:ind w:left="178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63468FC">
      <w:start w:val="1"/>
      <w:numFmt w:val="decimal"/>
      <w:lvlText w:val="%7"/>
      <w:lvlJc w:val="left"/>
      <w:pPr>
        <w:ind w:left="250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7787B66">
      <w:start w:val="1"/>
      <w:numFmt w:val="lowerLetter"/>
      <w:lvlText w:val="%8"/>
      <w:lvlJc w:val="left"/>
      <w:pPr>
        <w:ind w:left="32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C78ACA4">
      <w:start w:val="1"/>
      <w:numFmt w:val="lowerRoman"/>
      <w:lvlText w:val="%9"/>
      <w:lvlJc w:val="left"/>
      <w:pPr>
        <w:ind w:left="394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
    <w:nsid w:val="26134F28"/>
    <w:multiLevelType w:val="hybridMultilevel"/>
    <w:tmpl w:val="D012ECBE"/>
    <w:lvl w:ilvl="0" w:tplc="D13A24B2">
      <w:start w:val="1"/>
      <w:numFmt w:val="bullet"/>
      <w:lvlText w:val="–"/>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01CADADE">
      <w:start w:val="1"/>
      <w:numFmt w:val="bullet"/>
      <w:lvlText w:val="o"/>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0DABF4A">
      <w:start w:val="1"/>
      <w:numFmt w:val="bullet"/>
      <w:lvlText w:val="▪"/>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FC6E98C">
      <w:start w:val="1"/>
      <w:numFmt w:val="bullet"/>
      <w:lvlText w:val="•"/>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D2666F6">
      <w:start w:val="1"/>
      <w:numFmt w:val="bullet"/>
      <w:lvlText w:val="o"/>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3485A96">
      <w:start w:val="1"/>
      <w:numFmt w:val="bullet"/>
      <w:lvlText w:val="▪"/>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37696B6">
      <w:start w:val="1"/>
      <w:numFmt w:val="bullet"/>
      <w:lvlText w:val="•"/>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05CACB8">
      <w:start w:val="1"/>
      <w:numFmt w:val="bullet"/>
      <w:lvlText w:val="o"/>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BB0B134">
      <w:start w:val="1"/>
      <w:numFmt w:val="bullet"/>
      <w:lvlText w:val="▪"/>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
    <w:nsid w:val="289F03F0"/>
    <w:multiLevelType w:val="hybridMultilevel"/>
    <w:tmpl w:val="7AB4B776"/>
    <w:lvl w:ilvl="0" w:tplc="996A0F08">
      <w:start w:val="1"/>
      <w:numFmt w:val="bullet"/>
      <w:lvlText w:val="–"/>
      <w:lvlJc w:val="left"/>
      <w:pPr>
        <w:ind w:left="286"/>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1" w:tplc="FCD06782">
      <w:start w:val="1"/>
      <w:numFmt w:val="bullet"/>
      <w:lvlText w:val="o"/>
      <w:lvlJc w:val="left"/>
      <w:pPr>
        <w:ind w:left="108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2" w:tplc="3C5C102C">
      <w:start w:val="1"/>
      <w:numFmt w:val="bullet"/>
      <w:lvlText w:val="▪"/>
      <w:lvlJc w:val="left"/>
      <w:pPr>
        <w:ind w:left="180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3" w:tplc="E9DA09AE">
      <w:start w:val="1"/>
      <w:numFmt w:val="bullet"/>
      <w:lvlText w:val="•"/>
      <w:lvlJc w:val="left"/>
      <w:pPr>
        <w:ind w:left="252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4" w:tplc="9E0487BC">
      <w:start w:val="1"/>
      <w:numFmt w:val="bullet"/>
      <w:lvlText w:val="o"/>
      <w:lvlJc w:val="left"/>
      <w:pPr>
        <w:ind w:left="324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5" w:tplc="E182B1EC">
      <w:start w:val="1"/>
      <w:numFmt w:val="bullet"/>
      <w:lvlText w:val="▪"/>
      <w:lvlJc w:val="left"/>
      <w:pPr>
        <w:ind w:left="396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6" w:tplc="3536CA6C">
      <w:start w:val="1"/>
      <w:numFmt w:val="bullet"/>
      <w:lvlText w:val="•"/>
      <w:lvlJc w:val="left"/>
      <w:pPr>
        <w:ind w:left="468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7" w:tplc="159C7E6A">
      <w:start w:val="1"/>
      <w:numFmt w:val="bullet"/>
      <w:lvlText w:val="o"/>
      <w:lvlJc w:val="left"/>
      <w:pPr>
        <w:ind w:left="540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8" w:tplc="07046478">
      <w:start w:val="1"/>
      <w:numFmt w:val="bullet"/>
      <w:lvlText w:val="▪"/>
      <w:lvlJc w:val="left"/>
      <w:pPr>
        <w:ind w:left="612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abstractNum>
  <w:abstractNum w:abstractNumId="11">
    <w:nsid w:val="2D9C7B12"/>
    <w:multiLevelType w:val="hybridMultilevel"/>
    <w:tmpl w:val="73C4A9B8"/>
    <w:lvl w:ilvl="0" w:tplc="8676CB46">
      <w:start w:val="9"/>
      <w:numFmt w:val="decimal"/>
      <w:lvlText w:val="%1."/>
      <w:lvlJc w:val="left"/>
      <w:pPr>
        <w:ind w:left="28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E152B95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2AE3C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8F4B89E">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286D5A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274132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33ECCF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30608E6">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8F0046C">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2">
    <w:nsid w:val="2F517684"/>
    <w:multiLevelType w:val="multilevel"/>
    <w:tmpl w:val="F9168A80"/>
    <w:lvl w:ilvl="0">
      <w:start w:val="8"/>
      <w:numFmt w:val="decimal"/>
      <w:lvlText w:val="%1."/>
      <w:lvlJc w:val="left"/>
      <w:pPr>
        <w:ind w:left="5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20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bullet"/>
      <w:lvlText w:val="–"/>
      <w:lvlJc w:val="left"/>
      <w:pPr>
        <w:ind w:left="2446"/>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4">
      <w:start w:val="1"/>
      <w:numFmt w:val="bullet"/>
      <w:lvlText w:val="o"/>
      <w:lvlJc w:val="left"/>
      <w:pPr>
        <w:ind w:left="324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5">
      <w:start w:val="1"/>
      <w:numFmt w:val="bullet"/>
      <w:lvlText w:val="▪"/>
      <w:lvlJc w:val="left"/>
      <w:pPr>
        <w:ind w:left="396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6">
      <w:start w:val="1"/>
      <w:numFmt w:val="bullet"/>
      <w:lvlText w:val="•"/>
      <w:lvlJc w:val="left"/>
      <w:pPr>
        <w:ind w:left="468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7">
      <w:start w:val="1"/>
      <w:numFmt w:val="bullet"/>
      <w:lvlText w:val="o"/>
      <w:lvlJc w:val="left"/>
      <w:pPr>
        <w:ind w:left="540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8">
      <w:start w:val="1"/>
      <w:numFmt w:val="bullet"/>
      <w:lvlText w:val="▪"/>
      <w:lvlJc w:val="left"/>
      <w:pPr>
        <w:ind w:left="612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abstractNum>
  <w:abstractNum w:abstractNumId="13">
    <w:nsid w:val="37DC2F3B"/>
    <w:multiLevelType w:val="multilevel"/>
    <w:tmpl w:val="6A524C34"/>
    <w:lvl w:ilvl="0">
      <w:start w:val="8"/>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12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4">
    <w:nsid w:val="43CC3736"/>
    <w:multiLevelType w:val="hybridMultilevel"/>
    <w:tmpl w:val="8A8CB43A"/>
    <w:lvl w:ilvl="0" w:tplc="C6AEB92A">
      <w:start w:val="1"/>
      <w:numFmt w:val="lowerLetter"/>
      <w:lvlText w:val="%1)"/>
      <w:lvlJc w:val="left"/>
      <w:pPr>
        <w:ind w:left="7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DCAF3C8">
      <w:start w:val="1"/>
      <w:numFmt w:val="lowerLetter"/>
      <w:lvlText w:val="%2"/>
      <w:lvlJc w:val="left"/>
      <w:pPr>
        <w:ind w:left="14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E850FD78">
      <w:start w:val="1"/>
      <w:numFmt w:val="lowerRoman"/>
      <w:lvlText w:val="%3"/>
      <w:lvlJc w:val="left"/>
      <w:pPr>
        <w:ind w:left="21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A50D764">
      <w:start w:val="1"/>
      <w:numFmt w:val="decimal"/>
      <w:lvlText w:val="%4"/>
      <w:lvlJc w:val="left"/>
      <w:pPr>
        <w:ind w:left="2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B64BDE0">
      <w:start w:val="1"/>
      <w:numFmt w:val="lowerLetter"/>
      <w:lvlText w:val="%5"/>
      <w:lvlJc w:val="left"/>
      <w:pPr>
        <w:ind w:left="36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A42174E">
      <w:start w:val="1"/>
      <w:numFmt w:val="lowerRoman"/>
      <w:lvlText w:val="%6"/>
      <w:lvlJc w:val="left"/>
      <w:pPr>
        <w:ind w:left="43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382E7AE">
      <w:start w:val="1"/>
      <w:numFmt w:val="decimal"/>
      <w:lvlText w:val="%7"/>
      <w:lvlJc w:val="left"/>
      <w:pPr>
        <w:ind w:left="50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7284D96">
      <w:start w:val="1"/>
      <w:numFmt w:val="lowerLetter"/>
      <w:lvlText w:val="%8"/>
      <w:lvlJc w:val="left"/>
      <w:pPr>
        <w:ind w:left="57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09263B6">
      <w:start w:val="1"/>
      <w:numFmt w:val="lowerRoman"/>
      <w:lvlText w:val="%9"/>
      <w:lvlJc w:val="left"/>
      <w:pPr>
        <w:ind w:left="64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5">
    <w:nsid w:val="469D484C"/>
    <w:multiLevelType w:val="hybridMultilevel"/>
    <w:tmpl w:val="A78AC996"/>
    <w:lvl w:ilvl="0" w:tplc="1F8EFBC4">
      <w:start w:val="1"/>
      <w:numFmt w:val="bullet"/>
      <w:lvlText w:val="–"/>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30000BE">
      <w:start w:val="1"/>
      <w:numFmt w:val="bullet"/>
      <w:lvlText w:val="o"/>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E92CF206">
      <w:start w:val="1"/>
      <w:numFmt w:val="bullet"/>
      <w:lvlText w:val="▪"/>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B8AAC16">
      <w:start w:val="1"/>
      <w:numFmt w:val="bullet"/>
      <w:lvlText w:val="•"/>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B32B9CA">
      <w:start w:val="1"/>
      <w:numFmt w:val="bullet"/>
      <w:lvlText w:val="o"/>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49C4B04">
      <w:start w:val="1"/>
      <w:numFmt w:val="bullet"/>
      <w:lvlText w:val="▪"/>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05E6034">
      <w:start w:val="1"/>
      <w:numFmt w:val="bullet"/>
      <w:lvlText w:val="•"/>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9EC6508">
      <w:start w:val="1"/>
      <w:numFmt w:val="bullet"/>
      <w:lvlText w:val="o"/>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E2CC248">
      <w:start w:val="1"/>
      <w:numFmt w:val="bullet"/>
      <w:lvlText w:val="▪"/>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6">
    <w:nsid w:val="473508DB"/>
    <w:multiLevelType w:val="multilevel"/>
    <w:tmpl w:val="B65A35D0"/>
    <w:lvl w:ilvl="0">
      <w:start w:val="5"/>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9"/>
      <w:numFmt w:val="decimal"/>
      <w:lvlText w:val="%1.%2"/>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12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7">
    <w:nsid w:val="516A11CD"/>
    <w:multiLevelType w:val="hybridMultilevel"/>
    <w:tmpl w:val="41884C8A"/>
    <w:lvl w:ilvl="0" w:tplc="C00C2390">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E1413FA">
      <w:start w:val="1"/>
      <w:numFmt w:val="lowerLetter"/>
      <w:lvlText w:val="%2"/>
      <w:lvlJc w:val="left"/>
      <w:pPr>
        <w:ind w:left="50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4F662F4">
      <w:start w:val="1"/>
      <w:numFmt w:val="lowerLetter"/>
      <w:lvlRestart w:val="0"/>
      <w:lvlText w:val="%3)"/>
      <w:lvlJc w:val="left"/>
      <w:pPr>
        <w:ind w:left="64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A826CD6">
      <w:start w:val="1"/>
      <w:numFmt w:val="decimal"/>
      <w:lvlText w:val="%4"/>
      <w:lvlJc w:val="left"/>
      <w:pPr>
        <w:ind w:left="136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FE01C1E">
      <w:start w:val="1"/>
      <w:numFmt w:val="lowerLetter"/>
      <w:lvlText w:val="%5"/>
      <w:lvlJc w:val="left"/>
      <w:pPr>
        <w:ind w:left="208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1B8374A">
      <w:start w:val="1"/>
      <w:numFmt w:val="lowerRoman"/>
      <w:lvlText w:val="%6"/>
      <w:lvlJc w:val="left"/>
      <w:pPr>
        <w:ind w:left="280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B7E5416">
      <w:start w:val="1"/>
      <w:numFmt w:val="decimal"/>
      <w:lvlText w:val="%7"/>
      <w:lvlJc w:val="left"/>
      <w:pPr>
        <w:ind w:left="35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8FAD304">
      <w:start w:val="1"/>
      <w:numFmt w:val="lowerLetter"/>
      <w:lvlText w:val="%8"/>
      <w:lvlJc w:val="left"/>
      <w:pPr>
        <w:ind w:left="424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DC64772">
      <w:start w:val="1"/>
      <w:numFmt w:val="lowerRoman"/>
      <w:lvlText w:val="%9"/>
      <w:lvlJc w:val="left"/>
      <w:pPr>
        <w:ind w:left="496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8">
    <w:nsid w:val="526770CA"/>
    <w:multiLevelType w:val="hybridMultilevel"/>
    <w:tmpl w:val="B04CC6B6"/>
    <w:lvl w:ilvl="0" w:tplc="EC146DA8">
      <w:start w:val="1"/>
      <w:numFmt w:val="bullet"/>
      <w:lvlText w:val="–"/>
      <w:lvlJc w:val="left"/>
      <w:pPr>
        <w:ind w:left="286"/>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1" w:tplc="1E7CC2DC">
      <w:start w:val="1"/>
      <w:numFmt w:val="bullet"/>
      <w:lvlText w:val="o"/>
      <w:lvlJc w:val="left"/>
      <w:pPr>
        <w:ind w:left="108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2" w:tplc="E28CD81A">
      <w:start w:val="1"/>
      <w:numFmt w:val="bullet"/>
      <w:lvlText w:val="▪"/>
      <w:lvlJc w:val="left"/>
      <w:pPr>
        <w:ind w:left="180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3" w:tplc="07268A6A">
      <w:start w:val="1"/>
      <w:numFmt w:val="bullet"/>
      <w:lvlText w:val="•"/>
      <w:lvlJc w:val="left"/>
      <w:pPr>
        <w:ind w:left="252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4" w:tplc="B01A546A">
      <w:start w:val="1"/>
      <w:numFmt w:val="bullet"/>
      <w:lvlText w:val="o"/>
      <w:lvlJc w:val="left"/>
      <w:pPr>
        <w:ind w:left="324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5" w:tplc="DE34F5EC">
      <w:start w:val="1"/>
      <w:numFmt w:val="bullet"/>
      <w:lvlText w:val="▪"/>
      <w:lvlJc w:val="left"/>
      <w:pPr>
        <w:ind w:left="396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6" w:tplc="F5266C88">
      <w:start w:val="1"/>
      <w:numFmt w:val="bullet"/>
      <w:lvlText w:val="•"/>
      <w:lvlJc w:val="left"/>
      <w:pPr>
        <w:ind w:left="468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7" w:tplc="26828CE6">
      <w:start w:val="1"/>
      <w:numFmt w:val="bullet"/>
      <w:lvlText w:val="o"/>
      <w:lvlJc w:val="left"/>
      <w:pPr>
        <w:ind w:left="540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lvl w:ilvl="8" w:tplc="C994C872">
      <w:start w:val="1"/>
      <w:numFmt w:val="bullet"/>
      <w:lvlText w:val="▪"/>
      <w:lvlJc w:val="left"/>
      <w:pPr>
        <w:ind w:left="6120"/>
      </w:pPr>
      <w:rPr>
        <w:rFonts w:ascii="Calibri" w:eastAsia="Calibri" w:hAnsi="Calibri" w:cs="Calibri"/>
        <w:b w:val="0"/>
        <w:i w:val="0"/>
        <w:strike w:val="0"/>
        <w:dstrike w:val="0"/>
        <w:color w:val="000000"/>
        <w:sz w:val="20"/>
        <w:u w:val="none" w:color="000000"/>
        <w:bdr w:val="none" w:sz="0" w:space="0" w:color="auto"/>
        <w:shd w:val="clear" w:color="auto" w:fill="auto"/>
        <w:vertAlign w:val="baseline"/>
      </w:rPr>
    </w:lvl>
  </w:abstractNum>
  <w:abstractNum w:abstractNumId="19">
    <w:nsid w:val="55AE400F"/>
    <w:multiLevelType w:val="multilevel"/>
    <w:tmpl w:val="915C04E0"/>
    <w:lvl w:ilvl="0">
      <w:start w:val="1"/>
      <w:numFmt w:val="decimal"/>
      <w:lvlText w:val="%1."/>
      <w:lvlJc w:val="left"/>
      <w:pPr>
        <w:ind w:left="1392"/>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220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286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358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430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502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574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646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718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0">
    <w:nsid w:val="57454270"/>
    <w:multiLevelType w:val="multilevel"/>
    <w:tmpl w:val="16A0492E"/>
    <w:lvl w:ilvl="0">
      <w:start w:val="6"/>
      <w:numFmt w:val="decimal"/>
      <w:lvlText w:val="%1."/>
      <w:lvlJc w:val="left"/>
      <w:pPr>
        <w:ind w:left="4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12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21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lowerLetter"/>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1">
    <w:nsid w:val="57A34A2D"/>
    <w:multiLevelType w:val="hybridMultilevel"/>
    <w:tmpl w:val="B92AF7FC"/>
    <w:lvl w:ilvl="0" w:tplc="18DE3C2A">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A1E2FC8">
      <w:start w:val="1"/>
      <w:numFmt w:val="lowerLetter"/>
      <w:lvlText w:val="%2"/>
      <w:lvlJc w:val="left"/>
      <w:pPr>
        <w:ind w:left="5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272CF52">
      <w:start w:val="1"/>
      <w:numFmt w:val="lowerRoman"/>
      <w:lvlText w:val="%3"/>
      <w:lvlJc w:val="left"/>
      <w:pPr>
        <w:ind w:left="7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30A91B6">
      <w:start w:val="1"/>
      <w:numFmt w:val="lowerLetter"/>
      <w:lvlRestart w:val="0"/>
      <w:lvlText w:val="%4)"/>
      <w:lvlJc w:val="left"/>
      <w:pPr>
        <w:ind w:left="9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5164846">
      <w:start w:val="1"/>
      <w:numFmt w:val="lowerLetter"/>
      <w:lvlText w:val="%5"/>
      <w:lvlJc w:val="left"/>
      <w:pPr>
        <w:ind w:left="165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B72E0A4">
      <w:start w:val="1"/>
      <w:numFmt w:val="lowerRoman"/>
      <w:lvlText w:val="%6"/>
      <w:lvlJc w:val="left"/>
      <w:pPr>
        <w:ind w:left="237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97C5018">
      <w:start w:val="1"/>
      <w:numFmt w:val="decimal"/>
      <w:lvlText w:val="%7"/>
      <w:lvlJc w:val="left"/>
      <w:pPr>
        <w:ind w:left="30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EF46EEE">
      <w:start w:val="1"/>
      <w:numFmt w:val="lowerLetter"/>
      <w:lvlText w:val="%8"/>
      <w:lvlJc w:val="left"/>
      <w:pPr>
        <w:ind w:left="38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DB498DE">
      <w:start w:val="1"/>
      <w:numFmt w:val="lowerRoman"/>
      <w:lvlText w:val="%9"/>
      <w:lvlJc w:val="left"/>
      <w:pPr>
        <w:ind w:left="45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2">
    <w:nsid w:val="58A62363"/>
    <w:multiLevelType w:val="hybridMultilevel"/>
    <w:tmpl w:val="9F8AF2DC"/>
    <w:lvl w:ilvl="0" w:tplc="6B0C237A">
      <w:start w:val="10"/>
      <w:numFmt w:val="decimal"/>
      <w:lvlText w:val="%1."/>
      <w:lvlJc w:val="left"/>
      <w:pPr>
        <w:ind w:left="7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5050842C">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D74130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96AB24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82C235C">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384FC8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E7C4FC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96CA505A">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DE0457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3">
    <w:nsid w:val="5D401C85"/>
    <w:multiLevelType w:val="hybridMultilevel"/>
    <w:tmpl w:val="84286624"/>
    <w:lvl w:ilvl="0" w:tplc="D6784C5C">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CC677AC">
      <w:start w:val="1"/>
      <w:numFmt w:val="lowerLetter"/>
      <w:lvlText w:val="%2"/>
      <w:lvlJc w:val="left"/>
      <w:pPr>
        <w:ind w:left="53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D84895C">
      <w:start w:val="1"/>
      <w:numFmt w:val="lowerRoman"/>
      <w:lvlText w:val="%3"/>
      <w:lvlJc w:val="left"/>
      <w:pPr>
        <w:ind w:left="7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766C910">
      <w:start w:val="1"/>
      <w:numFmt w:val="decimal"/>
      <w:lvlText w:val="%4"/>
      <w:lvlJc w:val="left"/>
      <w:pPr>
        <w:ind w:left="88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E908AAC">
      <w:start w:val="1"/>
      <w:numFmt w:val="lowerLetter"/>
      <w:lvlRestart w:val="0"/>
      <w:lvlText w:val="%5)"/>
      <w:lvlJc w:val="left"/>
      <w:pPr>
        <w:ind w:left="106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D22618A">
      <w:start w:val="1"/>
      <w:numFmt w:val="lowerRoman"/>
      <w:lvlText w:val="%6"/>
      <w:lvlJc w:val="left"/>
      <w:pPr>
        <w:ind w:left="178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B1C0322">
      <w:start w:val="1"/>
      <w:numFmt w:val="decimal"/>
      <w:lvlText w:val="%7"/>
      <w:lvlJc w:val="left"/>
      <w:pPr>
        <w:ind w:left="250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F36333C">
      <w:start w:val="1"/>
      <w:numFmt w:val="lowerLetter"/>
      <w:lvlText w:val="%8"/>
      <w:lvlJc w:val="left"/>
      <w:pPr>
        <w:ind w:left="32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1F435DA">
      <w:start w:val="1"/>
      <w:numFmt w:val="lowerRoman"/>
      <w:lvlText w:val="%9"/>
      <w:lvlJc w:val="left"/>
      <w:pPr>
        <w:ind w:left="394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4">
    <w:nsid w:val="5F9176A5"/>
    <w:multiLevelType w:val="hybridMultilevel"/>
    <w:tmpl w:val="B3321974"/>
    <w:lvl w:ilvl="0" w:tplc="EF02A522">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4747B06">
      <w:start w:val="1"/>
      <w:numFmt w:val="lowerLetter"/>
      <w:lvlText w:val="%2"/>
      <w:lvlJc w:val="left"/>
      <w:pPr>
        <w:ind w:left="4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8608E78">
      <w:start w:val="1"/>
      <w:numFmt w:val="lowerRoman"/>
      <w:lvlText w:val="%3"/>
      <w:lvlJc w:val="left"/>
      <w:pPr>
        <w:ind w:left="6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650FB06">
      <w:start w:val="1"/>
      <w:numFmt w:val="lowerLetter"/>
      <w:lvlRestart w:val="0"/>
      <w:lvlText w:val="%4)"/>
      <w:lvlJc w:val="left"/>
      <w:pPr>
        <w:ind w:left="7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BD80774">
      <w:start w:val="1"/>
      <w:numFmt w:val="lowerLetter"/>
      <w:lvlText w:val="%5"/>
      <w:lvlJc w:val="left"/>
      <w:pPr>
        <w:ind w:left="14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A0C1B28">
      <w:start w:val="1"/>
      <w:numFmt w:val="lowerRoman"/>
      <w:lvlText w:val="%6"/>
      <w:lvlJc w:val="left"/>
      <w:pPr>
        <w:ind w:left="21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920FFBE">
      <w:start w:val="1"/>
      <w:numFmt w:val="decimal"/>
      <w:lvlText w:val="%7"/>
      <w:lvlJc w:val="left"/>
      <w:pPr>
        <w:ind w:left="2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1D8D742">
      <w:start w:val="1"/>
      <w:numFmt w:val="lowerLetter"/>
      <w:lvlText w:val="%8"/>
      <w:lvlJc w:val="left"/>
      <w:pPr>
        <w:ind w:left="36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0C87420">
      <w:start w:val="1"/>
      <w:numFmt w:val="lowerRoman"/>
      <w:lvlText w:val="%9"/>
      <w:lvlJc w:val="left"/>
      <w:pPr>
        <w:ind w:left="43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5">
    <w:nsid w:val="60543D52"/>
    <w:multiLevelType w:val="hybridMultilevel"/>
    <w:tmpl w:val="69287FB6"/>
    <w:lvl w:ilvl="0" w:tplc="FA2C0504">
      <w:start w:val="1"/>
      <w:numFmt w:val="lowerLetter"/>
      <w:lvlText w:val="%1)"/>
      <w:lvlJc w:val="left"/>
      <w:pPr>
        <w:ind w:left="7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AE5A427E">
      <w:start w:val="1"/>
      <w:numFmt w:val="lowerLetter"/>
      <w:lvlText w:val="%2"/>
      <w:lvlJc w:val="left"/>
      <w:pPr>
        <w:ind w:left="14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D9EF708">
      <w:start w:val="1"/>
      <w:numFmt w:val="lowerRoman"/>
      <w:lvlText w:val="%3"/>
      <w:lvlJc w:val="left"/>
      <w:pPr>
        <w:ind w:left="21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6B448B0">
      <w:start w:val="1"/>
      <w:numFmt w:val="decimal"/>
      <w:lvlText w:val="%4"/>
      <w:lvlJc w:val="left"/>
      <w:pPr>
        <w:ind w:left="2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736C212">
      <w:start w:val="1"/>
      <w:numFmt w:val="lowerLetter"/>
      <w:lvlText w:val="%5"/>
      <w:lvlJc w:val="left"/>
      <w:pPr>
        <w:ind w:left="36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B26BF4E">
      <w:start w:val="1"/>
      <w:numFmt w:val="lowerRoman"/>
      <w:lvlText w:val="%6"/>
      <w:lvlJc w:val="left"/>
      <w:pPr>
        <w:ind w:left="43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9D261B8">
      <w:start w:val="1"/>
      <w:numFmt w:val="decimal"/>
      <w:lvlText w:val="%7"/>
      <w:lvlJc w:val="left"/>
      <w:pPr>
        <w:ind w:left="50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F38AD08">
      <w:start w:val="1"/>
      <w:numFmt w:val="lowerLetter"/>
      <w:lvlText w:val="%8"/>
      <w:lvlJc w:val="left"/>
      <w:pPr>
        <w:ind w:left="57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6AA0D3C">
      <w:start w:val="1"/>
      <w:numFmt w:val="lowerRoman"/>
      <w:lvlText w:val="%9"/>
      <w:lvlJc w:val="left"/>
      <w:pPr>
        <w:ind w:left="64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6">
    <w:nsid w:val="60BD7847"/>
    <w:multiLevelType w:val="hybridMultilevel"/>
    <w:tmpl w:val="06AC5F86"/>
    <w:lvl w:ilvl="0" w:tplc="2AA2CCBE">
      <w:start w:val="1"/>
      <w:numFmt w:val="lowerLetter"/>
      <w:lvlText w:val="%1)"/>
      <w:lvlJc w:val="left"/>
      <w:pPr>
        <w:ind w:left="7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3C26D58C">
      <w:start w:val="1"/>
      <w:numFmt w:val="lowerLetter"/>
      <w:lvlText w:val="%2"/>
      <w:lvlJc w:val="left"/>
      <w:pPr>
        <w:ind w:left="14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25EC0F8">
      <w:start w:val="1"/>
      <w:numFmt w:val="lowerRoman"/>
      <w:lvlText w:val="%3"/>
      <w:lvlJc w:val="left"/>
      <w:pPr>
        <w:ind w:left="21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04EE4FA">
      <w:start w:val="1"/>
      <w:numFmt w:val="decimal"/>
      <w:lvlText w:val="%4"/>
      <w:lvlJc w:val="left"/>
      <w:pPr>
        <w:ind w:left="2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6984B94">
      <w:start w:val="1"/>
      <w:numFmt w:val="lowerLetter"/>
      <w:lvlText w:val="%5"/>
      <w:lvlJc w:val="left"/>
      <w:pPr>
        <w:ind w:left="36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46A9A6E">
      <w:start w:val="1"/>
      <w:numFmt w:val="lowerRoman"/>
      <w:lvlText w:val="%6"/>
      <w:lvlJc w:val="left"/>
      <w:pPr>
        <w:ind w:left="43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90E5602">
      <w:start w:val="1"/>
      <w:numFmt w:val="decimal"/>
      <w:lvlText w:val="%7"/>
      <w:lvlJc w:val="left"/>
      <w:pPr>
        <w:ind w:left="50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CA2E970">
      <w:start w:val="1"/>
      <w:numFmt w:val="lowerLetter"/>
      <w:lvlText w:val="%8"/>
      <w:lvlJc w:val="left"/>
      <w:pPr>
        <w:ind w:left="57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5F2CCC6">
      <w:start w:val="1"/>
      <w:numFmt w:val="lowerRoman"/>
      <w:lvlText w:val="%9"/>
      <w:lvlJc w:val="left"/>
      <w:pPr>
        <w:ind w:left="64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7">
    <w:nsid w:val="65BC2B0D"/>
    <w:multiLevelType w:val="hybridMultilevel"/>
    <w:tmpl w:val="A3F2E27E"/>
    <w:lvl w:ilvl="0" w:tplc="85FC8D30">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12474B4">
      <w:start w:val="1"/>
      <w:numFmt w:val="lowerLetter"/>
      <w:lvlText w:val="%2"/>
      <w:lvlJc w:val="left"/>
      <w:pPr>
        <w:ind w:left="6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A46FD7E">
      <w:start w:val="1"/>
      <w:numFmt w:val="lowerRoman"/>
      <w:lvlText w:val="%3"/>
      <w:lvlJc w:val="left"/>
      <w:pPr>
        <w:ind w:left="86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010282C">
      <w:start w:val="1"/>
      <w:numFmt w:val="decimal"/>
      <w:lvlText w:val="%4"/>
      <w:lvlJc w:val="left"/>
      <w:pPr>
        <w:ind w:left="111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CF877C0">
      <w:start w:val="1"/>
      <w:numFmt w:val="lowerLetter"/>
      <w:lvlRestart w:val="0"/>
      <w:lvlText w:val="%5)"/>
      <w:lvlJc w:val="left"/>
      <w:pPr>
        <w:ind w:left="141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2C4390C">
      <w:start w:val="1"/>
      <w:numFmt w:val="lowerRoman"/>
      <w:lvlText w:val="%6"/>
      <w:lvlJc w:val="left"/>
      <w:pPr>
        <w:ind w:left="208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68A38CA">
      <w:start w:val="1"/>
      <w:numFmt w:val="decimal"/>
      <w:lvlText w:val="%7"/>
      <w:lvlJc w:val="left"/>
      <w:pPr>
        <w:ind w:left="280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E04B704">
      <w:start w:val="1"/>
      <w:numFmt w:val="lowerLetter"/>
      <w:lvlText w:val="%8"/>
      <w:lvlJc w:val="left"/>
      <w:pPr>
        <w:ind w:left="35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1183412">
      <w:start w:val="1"/>
      <w:numFmt w:val="lowerRoman"/>
      <w:lvlText w:val="%9"/>
      <w:lvlJc w:val="left"/>
      <w:pPr>
        <w:ind w:left="424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8">
    <w:nsid w:val="66214BCD"/>
    <w:multiLevelType w:val="hybridMultilevel"/>
    <w:tmpl w:val="6A3E426E"/>
    <w:lvl w:ilvl="0" w:tplc="D540A9AA">
      <w:start w:val="1"/>
      <w:numFmt w:val="bullet"/>
      <w:lvlText w:val="–"/>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2C8AF48">
      <w:start w:val="1"/>
      <w:numFmt w:val="bullet"/>
      <w:lvlText w:val="o"/>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B20BCD4">
      <w:start w:val="1"/>
      <w:numFmt w:val="bullet"/>
      <w:lvlText w:val="▪"/>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BC4226A">
      <w:start w:val="1"/>
      <w:numFmt w:val="bullet"/>
      <w:lvlText w:val="•"/>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D4AAB84">
      <w:start w:val="1"/>
      <w:numFmt w:val="bullet"/>
      <w:lvlText w:val="o"/>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C72F9E0">
      <w:start w:val="1"/>
      <w:numFmt w:val="bullet"/>
      <w:lvlText w:val="▪"/>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76A21D0">
      <w:start w:val="1"/>
      <w:numFmt w:val="bullet"/>
      <w:lvlText w:val="•"/>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9D928B3E">
      <w:start w:val="1"/>
      <w:numFmt w:val="bullet"/>
      <w:lvlText w:val="o"/>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848F56A">
      <w:start w:val="1"/>
      <w:numFmt w:val="bullet"/>
      <w:lvlText w:val="▪"/>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9">
    <w:nsid w:val="70AE07CE"/>
    <w:multiLevelType w:val="multilevel"/>
    <w:tmpl w:val="1D70D17A"/>
    <w:lvl w:ilvl="0">
      <w:start w:val="5"/>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8"/>
      <w:numFmt w:val="decimal"/>
      <w:lvlText w:val="%1.%2"/>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12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0">
    <w:nsid w:val="71B7571C"/>
    <w:multiLevelType w:val="multilevel"/>
    <w:tmpl w:val="46DCF8E0"/>
    <w:lvl w:ilvl="0">
      <w:start w:val="8"/>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129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1">
    <w:nsid w:val="7A0613F8"/>
    <w:multiLevelType w:val="hybridMultilevel"/>
    <w:tmpl w:val="9E0841F8"/>
    <w:lvl w:ilvl="0" w:tplc="28A823D4">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546222A">
      <w:start w:val="1"/>
      <w:numFmt w:val="lowerLetter"/>
      <w:lvlText w:val="%2"/>
      <w:lvlJc w:val="left"/>
      <w:pPr>
        <w:ind w:left="4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10452D6">
      <w:start w:val="1"/>
      <w:numFmt w:val="lowerRoman"/>
      <w:lvlText w:val="%3"/>
      <w:lvlJc w:val="left"/>
      <w:pPr>
        <w:ind w:left="6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B0C483C">
      <w:start w:val="1"/>
      <w:numFmt w:val="lowerLetter"/>
      <w:lvlRestart w:val="0"/>
      <w:lvlText w:val="%4)"/>
      <w:lvlJc w:val="left"/>
      <w:pPr>
        <w:ind w:left="7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03EB97C">
      <w:start w:val="1"/>
      <w:numFmt w:val="lowerLetter"/>
      <w:lvlText w:val="%5"/>
      <w:lvlJc w:val="left"/>
      <w:pPr>
        <w:ind w:left="14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B82DC26">
      <w:start w:val="1"/>
      <w:numFmt w:val="lowerRoman"/>
      <w:lvlText w:val="%6"/>
      <w:lvlJc w:val="left"/>
      <w:pPr>
        <w:ind w:left="21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634F4BE">
      <w:start w:val="1"/>
      <w:numFmt w:val="decimal"/>
      <w:lvlText w:val="%7"/>
      <w:lvlJc w:val="left"/>
      <w:pPr>
        <w:ind w:left="2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9B8F076">
      <w:start w:val="1"/>
      <w:numFmt w:val="lowerLetter"/>
      <w:lvlText w:val="%8"/>
      <w:lvlJc w:val="left"/>
      <w:pPr>
        <w:ind w:left="36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30AA6D4">
      <w:start w:val="1"/>
      <w:numFmt w:val="lowerRoman"/>
      <w:lvlText w:val="%9"/>
      <w:lvlJc w:val="left"/>
      <w:pPr>
        <w:ind w:left="43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abstractNumId w:val="19"/>
  </w:num>
  <w:num w:numId="2">
    <w:abstractNumId w:val="10"/>
  </w:num>
  <w:num w:numId="3">
    <w:abstractNumId w:val="21"/>
  </w:num>
  <w:num w:numId="4">
    <w:abstractNumId w:val="3"/>
  </w:num>
  <w:num w:numId="5">
    <w:abstractNumId w:val="0"/>
  </w:num>
  <w:num w:numId="6">
    <w:abstractNumId w:val="28"/>
  </w:num>
  <w:num w:numId="7">
    <w:abstractNumId w:val="17"/>
  </w:num>
  <w:num w:numId="8">
    <w:abstractNumId w:val="7"/>
  </w:num>
  <w:num w:numId="9">
    <w:abstractNumId w:val="1"/>
  </w:num>
  <w:num w:numId="10">
    <w:abstractNumId w:val="6"/>
  </w:num>
  <w:num w:numId="11">
    <w:abstractNumId w:val="9"/>
  </w:num>
  <w:num w:numId="12">
    <w:abstractNumId w:val="26"/>
  </w:num>
  <w:num w:numId="13">
    <w:abstractNumId w:val="14"/>
  </w:num>
  <w:num w:numId="14">
    <w:abstractNumId w:val="25"/>
  </w:num>
  <w:num w:numId="15">
    <w:abstractNumId w:val="5"/>
  </w:num>
  <w:num w:numId="16">
    <w:abstractNumId w:val="15"/>
  </w:num>
  <w:num w:numId="17">
    <w:abstractNumId w:val="31"/>
  </w:num>
  <w:num w:numId="18">
    <w:abstractNumId w:val="24"/>
  </w:num>
  <w:num w:numId="19">
    <w:abstractNumId w:val="16"/>
  </w:num>
  <w:num w:numId="20">
    <w:abstractNumId w:val="29"/>
  </w:num>
  <w:num w:numId="21">
    <w:abstractNumId w:val="20"/>
  </w:num>
  <w:num w:numId="22">
    <w:abstractNumId w:val="27"/>
  </w:num>
  <w:num w:numId="23">
    <w:abstractNumId w:val="4"/>
  </w:num>
  <w:num w:numId="24">
    <w:abstractNumId w:val="12"/>
  </w:num>
  <w:num w:numId="25">
    <w:abstractNumId w:val="23"/>
  </w:num>
  <w:num w:numId="26">
    <w:abstractNumId w:val="8"/>
  </w:num>
  <w:num w:numId="27">
    <w:abstractNumId w:val="18"/>
  </w:num>
  <w:num w:numId="28">
    <w:abstractNumId w:val="13"/>
  </w:num>
  <w:num w:numId="29">
    <w:abstractNumId w:val="30"/>
  </w:num>
  <w:num w:numId="30">
    <w:abstractNumId w:val="11"/>
  </w:num>
  <w:num w:numId="31">
    <w:abstractNumId w:val="2"/>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D61"/>
    <w:rsid w:val="002A0D61"/>
    <w:rsid w:val="003F294A"/>
    <w:rsid w:val="00676342"/>
    <w:rsid w:val="009B3373"/>
    <w:rsid w:val="00BF2516"/>
    <w:rsid w:val="00E060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AA0088-4AC8-4B95-A762-EF9A16514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6" w:line="246" w:lineRule="auto"/>
      <w:ind w:left="-5" w:right="-13" w:hanging="10"/>
      <w:jc w:val="both"/>
    </w:pPr>
    <w:rPr>
      <w:rFonts w:ascii="Calibri" w:eastAsia="Calibri" w:hAnsi="Calibri" w:cs="Calibri"/>
      <w:color w:val="000000"/>
      <w:sz w:val="20"/>
    </w:rPr>
  </w:style>
  <w:style w:type="paragraph" w:styleId="Nagwek1">
    <w:name w:val="heading 1"/>
    <w:next w:val="Normalny"/>
    <w:link w:val="Nagwek1Znak"/>
    <w:uiPriority w:val="9"/>
    <w:unhideWhenUsed/>
    <w:qFormat/>
    <w:pPr>
      <w:keepNext/>
      <w:keepLines/>
      <w:spacing w:after="170" w:line="246" w:lineRule="auto"/>
      <w:ind w:left="-5" w:right="-15" w:hanging="10"/>
      <w:outlineLvl w:val="0"/>
    </w:pPr>
    <w:rPr>
      <w:rFonts w:ascii="Calibri" w:eastAsia="Calibri" w:hAnsi="Calibri" w:cs="Calibri"/>
      <w:b/>
      <w:color w:val="000000"/>
      <w:sz w:val="20"/>
    </w:rPr>
  </w:style>
  <w:style w:type="paragraph" w:styleId="Nagwek2">
    <w:name w:val="heading 2"/>
    <w:next w:val="Normalny"/>
    <w:link w:val="Nagwek2Znak"/>
    <w:uiPriority w:val="9"/>
    <w:unhideWhenUsed/>
    <w:qFormat/>
    <w:pPr>
      <w:keepNext/>
      <w:keepLines/>
      <w:spacing w:after="170" w:line="246" w:lineRule="auto"/>
      <w:ind w:left="-5" w:right="-15" w:hanging="10"/>
      <w:outlineLvl w:val="1"/>
    </w:pPr>
    <w:rPr>
      <w:rFonts w:ascii="Calibri" w:eastAsia="Calibri" w:hAnsi="Calibri" w:cs="Calibri"/>
      <w:b/>
      <w:color w:val="000000"/>
      <w:sz w:val="20"/>
    </w:rPr>
  </w:style>
  <w:style w:type="paragraph" w:styleId="Nagwek4">
    <w:name w:val="heading 4"/>
    <w:basedOn w:val="Normalny"/>
    <w:next w:val="Normalny"/>
    <w:link w:val="Nagwek4Znak"/>
    <w:uiPriority w:val="9"/>
    <w:semiHidden/>
    <w:unhideWhenUsed/>
    <w:qFormat/>
    <w:rsid w:val="009B337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0"/>
    </w:rPr>
  </w:style>
  <w:style w:type="character" w:customStyle="1" w:styleId="Nagwek2Znak">
    <w:name w:val="Nagłówek 2 Znak"/>
    <w:link w:val="Nagwek2"/>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Nagwek4Znak">
    <w:name w:val="Nagłówek 4 Znak"/>
    <w:basedOn w:val="Domylnaczcionkaakapitu"/>
    <w:link w:val="Nagwek4"/>
    <w:uiPriority w:val="9"/>
    <w:semiHidden/>
    <w:rsid w:val="009B3373"/>
    <w:rPr>
      <w:rFonts w:asciiTheme="majorHAnsi" w:eastAsiaTheme="majorEastAsia" w:hAnsiTheme="majorHAnsi" w:cstheme="majorBidi"/>
      <w:i/>
      <w:iCs/>
      <w:color w:val="2E74B5"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C1628-81C9-4FA0-A044-FCF12FE0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6376</Words>
  <Characters>38260</Characters>
  <Application>Microsoft Office Word</Application>
  <DocSecurity>0</DocSecurity>
  <Lines>318</Lines>
  <Paragraphs>89</Paragraphs>
  <ScaleCrop>false</ScaleCrop>
  <HeadingPairs>
    <vt:vector size="2" baseType="variant">
      <vt:variant>
        <vt:lpstr>Tytuł</vt:lpstr>
      </vt:variant>
      <vt:variant>
        <vt:i4>1</vt:i4>
      </vt:variant>
    </vt:vector>
  </HeadingPairs>
  <TitlesOfParts>
    <vt:vector size="1" baseType="lpstr">
      <vt:lpstr>Microsoft Word - Strona-1</vt:lpstr>
    </vt:vector>
  </TitlesOfParts>
  <Company/>
  <LinksUpToDate>false</LinksUpToDate>
  <CharactersWithSpaces>44547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Strona-1</dc:title>
  <dc:subject/>
  <dc:creator>Administrator</dc:creator>
  <cp:keywords/>
  <cp:lastModifiedBy>JA</cp:lastModifiedBy>
  <cp:revision>3</cp:revision>
  <dcterms:created xsi:type="dcterms:W3CDTF">2022-09-05T09:56:00Z</dcterms:created>
  <dcterms:modified xsi:type="dcterms:W3CDTF">2022-09-05T10:24:00Z</dcterms:modified>
</cp:coreProperties>
</file>